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D429" w14:textId="77777777" w:rsidR="006351E8" w:rsidRPr="00753629" w:rsidRDefault="006351E8" w:rsidP="006351E8">
      <w:pPr>
        <w:spacing w:after="160" w:line="259" w:lineRule="auto"/>
        <w:jc w:val="center"/>
        <w:rPr>
          <w:b/>
          <w:lang w:val="en-US"/>
        </w:rPr>
      </w:pPr>
    </w:p>
    <w:p w14:paraId="6526F5B2" w14:textId="77777777" w:rsidR="006351E8" w:rsidRPr="00C22BA4" w:rsidRDefault="006351E8" w:rsidP="006351E8">
      <w:pPr>
        <w:spacing w:after="160" w:line="259" w:lineRule="auto"/>
        <w:jc w:val="center"/>
        <w:rPr>
          <w:b/>
          <w:lang w:val="uk-UA"/>
        </w:rPr>
      </w:pPr>
    </w:p>
    <w:p w14:paraId="22AC8E79" w14:textId="77777777" w:rsidR="006351E8" w:rsidRPr="00C22BA4" w:rsidRDefault="006351E8" w:rsidP="006351E8">
      <w:pPr>
        <w:spacing w:after="160" w:line="259" w:lineRule="auto"/>
        <w:jc w:val="center"/>
        <w:rPr>
          <w:b/>
          <w:lang w:val="uk-UA"/>
        </w:rPr>
      </w:pPr>
    </w:p>
    <w:p w14:paraId="50E28582" w14:textId="77777777" w:rsidR="006351E8" w:rsidRPr="00C22BA4" w:rsidRDefault="006351E8" w:rsidP="006351E8">
      <w:pPr>
        <w:spacing w:after="160" w:line="259" w:lineRule="auto"/>
        <w:jc w:val="center"/>
        <w:rPr>
          <w:b/>
          <w:lang w:val="uk-UA"/>
        </w:rPr>
      </w:pPr>
    </w:p>
    <w:p w14:paraId="1D28A5FE" w14:textId="77777777" w:rsidR="006351E8" w:rsidRPr="00C22BA4" w:rsidRDefault="006351E8" w:rsidP="006351E8">
      <w:pPr>
        <w:spacing w:after="160" w:line="259" w:lineRule="auto"/>
        <w:jc w:val="center"/>
        <w:rPr>
          <w:b/>
          <w:lang w:val="uk-UA"/>
        </w:rPr>
      </w:pPr>
    </w:p>
    <w:p w14:paraId="3B74CBFA" w14:textId="77777777" w:rsidR="006351E8" w:rsidRPr="00C22BA4" w:rsidRDefault="006351E8" w:rsidP="006351E8">
      <w:pPr>
        <w:jc w:val="center"/>
        <w:rPr>
          <w:b/>
          <w:lang w:val="uk-UA"/>
        </w:rPr>
      </w:pPr>
      <w:r w:rsidRPr="00C22BA4">
        <w:rPr>
          <w:b/>
          <w:lang w:val="uk-UA"/>
        </w:rPr>
        <w:t>Запит на комерційну пропозицію</w:t>
      </w:r>
    </w:p>
    <w:p w14:paraId="0AC21356" w14:textId="77777777" w:rsidR="006351E8" w:rsidRDefault="006351E8" w:rsidP="006351E8">
      <w:pPr>
        <w:jc w:val="center"/>
        <w:rPr>
          <w:b/>
          <w:lang w:val="uk-UA"/>
        </w:rPr>
      </w:pPr>
      <w:r w:rsidRPr="00C22BA4">
        <w:rPr>
          <w:b/>
          <w:lang w:val="uk-UA"/>
        </w:rPr>
        <w:t>щодо закупівлі програмно</w:t>
      </w:r>
      <w:r>
        <w:rPr>
          <w:b/>
          <w:lang w:val="uk-UA"/>
        </w:rPr>
        <w:t xml:space="preserve">го забезпечення </w:t>
      </w:r>
      <w:r w:rsidRPr="00663A7B">
        <w:rPr>
          <w:b/>
          <w:lang w:val="uk-UA"/>
        </w:rPr>
        <w:t xml:space="preserve">для </w:t>
      </w:r>
      <w:r>
        <w:rPr>
          <w:b/>
          <w:lang w:val="uk-UA"/>
        </w:rPr>
        <w:t>впровадження підсистеми керування ідентифікаційними даними та доступом, послуг з її впровадження та підтримки</w:t>
      </w:r>
    </w:p>
    <w:p w14:paraId="526C71BB" w14:textId="77777777" w:rsidR="006351E8" w:rsidRPr="00C22BA4" w:rsidRDefault="006351E8" w:rsidP="006351E8">
      <w:pPr>
        <w:jc w:val="center"/>
        <w:rPr>
          <w:b/>
          <w:lang w:val="uk-UA"/>
        </w:rPr>
      </w:pPr>
      <w:r w:rsidRPr="00C22BA4">
        <w:rPr>
          <w:b/>
          <w:lang w:val="uk-UA"/>
        </w:rPr>
        <w:t>АТ «Концерн Галнафтогаз»</w:t>
      </w:r>
    </w:p>
    <w:p w14:paraId="2553E236" w14:textId="77777777" w:rsidR="006351E8" w:rsidRPr="00C22BA4" w:rsidRDefault="006351E8" w:rsidP="006351E8">
      <w:pPr>
        <w:tabs>
          <w:tab w:val="left" w:pos="8535"/>
        </w:tabs>
        <w:rPr>
          <w:b/>
          <w:lang w:val="uk-UA"/>
        </w:rPr>
      </w:pPr>
      <w:r>
        <w:rPr>
          <w:b/>
          <w:lang w:val="uk-UA"/>
        </w:rPr>
        <w:tab/>
      </w:r>
    </w:p>
    <w:p w14:paraId="1E19EBD7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63794FC0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3FF55EE1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4345A751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6230B680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01D631CF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1141757E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17452B76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53A0F953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6189CC7A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7E7650AA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1C017CA0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0016CB23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057BBC5C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76F5C334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4D4E88B6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58DF8841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127B1329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169AD4CD" w14:textId="77777777" w:rsidR="006351E8" w:rsidRPr="00C22BA4" w:rsidRDefault="006351E8" w:rsidP="006351E8">
      <w:pPr>
        <w:spacing w:after="160" w:line="259" w:lineRule="auto"/>
        <w:jc w:val="center"/>
        <w:rPr>
          <w:b/>
          <w:lang w:val="uk-UA"/>
        </w:rPr>
      </w:pPr>
    </w:p>
    <w:p w14:paraId="4CE28C32" w14:textId="77777777" w:rsidR="006351E8" w:rsidRPr="00C22BA4" w:rsidRDefault="006351E8" w:rsidP="006351E8">
      <w:pPr>
        <w:spacing w:after="160" w:line="259" w:lineRule="auto"/>
        <w:jc w:val="center"/>
        <w:rPr>
          <w:b/>
          <w:lang w:val="uk-UA"/>
        </w:rPr>
      </w:pPr>
    </w:p>
    <w:p w14:paraId="2A293E32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0B43CA73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42BA5FCA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02F9A333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3DF694B3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37B36136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77A51859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13A41654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18F96212" w14:textId="77777777" w:rsidR="006351E8" w:rsidRPr="00C22BA4" w:rsidRDefault="006351E8" w:rsidP="006351E8">
      <w:pPr>
        <w:jc w:val="center"/>
        <w:rPr>
          <w:b/>
          <w:lang w:val="uk-UA"/>
        </w:rPr>
      </w:pPr>
    </w:p>
    <w:p w14:paraId="3233FFF1" w14:textId="77777777" w:rsidR="006351E8" w:rsidRPr="00C22BA4" w:rsidRDefault="006351E8" w:rsidP="006351E8">
      <w:pPr>
        <w:jc w:val="center"/>
        <w:rPr>
          <w:b/>
          <w:lang w:val="uk-UA"/>
        </w:rPr>
      </w:pPr>
      <w:r w:rsidRPr="00C22BA4">
        <w:rPr>
          <w:b/>
          <w:lang w:val="uk-UA"/>
        </w:rPr>
        <w:t>ЛЬВІВ 202</w:t>
      </w:r>
      <w:r>
        <w:rPr>
          <w:b/>
          <w:lang w:val="uk-UA"/>
        </w:rPr>
        <w:t>5</w:t>
      </w:r>
      <w:r w:rsidRPr="00C22BA4">
        <w:rPr>
          <w:b/>
          <w:lang w:val="uk-UA"/>
        </w:rPr>
        <w:br w:type="page"/>
      </w:r>
    </w:p>
    <w:p w14:paraId="0FEE8B42" w14:textId="77777777" w:rsidR="006351E8" w:rsidRPr="00C22BA4" w:rsidRDefault="006351E8" w:rsidP="006351E8">
      <w:pPr>
        <w:jc w:val="center"/>
        <w:rPr>
          <w:b/>
          <w:lang w:val="uk-UA"/>
        </w:rPr>
      </w:pPr>
      <w:r w:rsidRPr="00C22BA4">
        <w:rPr>
          <w:b/>
          <w:lang w:val="uk-UA"/>
        </w:rPr>
        <w:lastRenderedPageBreak/>
        <w:t>ЗАПРОШЕННЯ</w:t>
      </w:r>
      <w:r w:rsidRPr="00C22BA4">
        <w:rPr>
          <w:b/>
          <w:lang w:val="uk-UA"/>
        </w:rPr>
        <w:br/>
        <w:t>до участі в конкурсі</w:t>
      </w:r>
    </w:p>
    <w:p w14:paraId="4D611A20" w14:textId="77777777" w:rsidR="006351E8" w:rsidRPr="005E3AF1" w:rsidRDefault="006351E8" w:rsidP="006351E8">
      <w:pPr>
        <w:ind w:firstLine="567"/>
        <w:jc w:val="both"/>
        <w:rPr>
          <w:lang w:val="uk-UA"/>
        </w:rPr>
      </w:pPr>
      <w:r w:rsidRPr="00C22BA4">
        <w:rPr>
          <w:lang w:val="uk-UA"/>
        </w:rPr>
        <w:t xml:space="preserve">Компанія «Концерн Галнафтогаз» (www.okko.ua) повідомляє про проведення конкурсу потенційних партнерів по постачанню </w:t>
      </w:r>
      <w:r w:rsidRPr="007A12A3">
        <w:rPr>
          <w:lang w:val="uk-UA"/>
        </w:rPr>
        <w:t xml:space="preserve">програмного забезпечення для </w:t>
      </w:r>
      <w:r w:rsidRPr="00AA33FA">
        <w:rPr>
          <w:lang w:val="uk-UA"/>
        </w:rPr>
        <w:t xml:space="preserve">впровадження </w:t>
      </w:r>
      <w:r>
        <w:rPr>
          <w:lang w:val="uk-UA"/>
        </w:rPr>
        <w:t>підсистеми керування ідентифікаційними даними та доступом,</w:t>
      </w:r>
      <w:r w:rsidRPr="007A12A3">
        <w:rPr>
          <w:lang w:val="uk-UA"/>
        </w:rPr>
        <w:t xml:space="preserve"> послуг з </w:t>
      </w:r>
      <w:r>
        <w:rPr>
          <w:lang w:val="uk-UA"/>
        </w:rPr>
        <w:t xml:space="preserve">її </w:t>
      </w:r>
      <w:r w:rsidRPr="007A12A3">
        <w:rPr>
          <w:lang w:val="uk-UA"/>
        </w:rPr>
        <w:t>впровадження</w:t>
      </w:r>
      <w:r>
        <w:rPr>
          <w:lang w:val="uk-UA"/>
        </w:rPr>
        <w:t xml:space="preserve"> та підтримки</w:t>
      </w:r>
      <w:r w:rsidRPr="007A12A3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Pr="00663A7B">
        <w:rPr>
          <w:lang w:val="uk-UA"/>
        </w:rPr>
        <w:t>АТ «Концерн Галнафтогаз»</w:t>
      </w:r>
      <w:r>
        <w:rPr>
          <w:lang w:val="uk-UA"/>
        </w:rPr>
        <w:t>.</w:t>
      </w:r>
    </w:p>
    <w:p w14:paraId="21340B7A" w14:textId="77777777" w:rsidR="006351E8" w:rsidRPr="00C22BA4" w:rsidRDefault="006351E8" w:rsidP="006351E8">
      <w:pPr>
        <w:ind w:firstLine="360"/>
        <w:rPr>
          <w:lang w:val="uk-UA"/>
        </w:rPr>
      </w:pPr>
    </w:p>
    <w:p w14:paraId="64A91698" w14:textId="77777777" w:rsidR="006351E8" w:rsidRPr="00C22BA4" w:rsidRDefault="006351E8" w:rsidP="006351E8">
      <w:pPr>
        <w:numPr>
          <w:ilvl w:val="0"/>
          <w:numId w:val="2"/>
        </w:numPr>
        <w:tabs>
          <w:tab w:val="clear" w:pos="720"/>
        </w:tabs>
        <w:ind w:left="0" w:firstLine="567"/>
        <w:rPr>
          <w:b/>
          <w:lang w:val="uk-UA"/>
        </w:rPr>
      </w:pPr>
      <w:r w:rsidRPr="00C22BA4">
        <w:rPr>
          <w:b/>
          <w:lang w:val="uk-UA"/>
        </w:rPr>
        <w:t>Інформація про компанію</w:t>
      </w:r>
    </w:p>
    <w:p w14:paraId="45D4A5CD" w14:textId="77777777" w:rsidR="006351E8" w:rsidRPr="001A1162" w:rsidRDefault="006351E8" w:rsidP="006351E8">
      <w:pPr>
        <w:ind w:firstLine="567"/>
        <w:jc w:val="both"/>
        <w:rPr>
          <w:lang w:val="uk-UA"/>
        </w:rPr>
      </w:pPr>
      <w:r w:rsidRPr="00916793">
        <w:rPr>
          <w:lang w:val="uk-UA"/>
        </w:rPr>
        <w:t>Компанія «Концерн Галнафтогаз», є оператором мережі АЗК «ОККО» – однієї з найбільших   автозаправних мереж в Україні, до складу якої сьогодні входить понад 400 АЗК у всіх регіонах держави. Вона також управляє найбільшою в Україні мережею закладів харчування в дорозі, що працює під брендами A la minute, Pasta Mia, Hot café. У складі мережі «ОККО» працює 10 нафтобаз і 12 акредитованих лабораторій контролю якості нафтопродуктів. Команда «Концерну Галнафтогаз»</w:t>
      </w:r>
      <w:r>
        <w:rPr>
          <w:lang w:val="uk-UA"/>
        </w:rPr>
        <w:t xml:space="preserve"> (далі - «</w:t>
      </w:r>
      <w:r w:rsidRPr="001A1162">
        <w:rPr>
          <w:lang w:val="uk-UA"/>
        </w:rPr>
        <w:t>Замовника») налічує майже 10 тисяч працівників.</w:t>
      </w:r>
    </w:p>
    <w:p w14:paraId="09E9887C" w14:textId="77777777" w:rsidR="006351E8" w:rsidRPr="001A1162" w:rsidRDefault="006351E8" w:rsidP="006351E8">
      <w:pPr>
        <w:ind w:firstLine="360"/>
        <w:jc w:val="both"/>
        <w:rPr>
          <w:lang w:val="uk-UA"/>
        </w:rPr>
      </w:pPr>
    </w:p>
    <w:p w14:paraId="5F25BCCF" w14:textId="77777777" w:rsidR="006351E8" w:rsidRPr="001A1162" w:rsidRDefault="006351E8" w:rsidP="006351E8">
      <w:pPr>
        <w:numPr>
          <w:ilvl w:val="0"/>
          <w:numId w:val="2"/>
        </w:numPr>
        <w:tabs>
          <w:tab w:val="clear" w:pos="720"/>
        </w:tabs>
        <w:ind w:left="0" w:firstLine="567"/>
        <w:rPr>
          <w:b/>
          <w:lang w:val="uk-UA"/>
        </w:rPr>
      </w:pPr>
      <w:r w:rsidRPr="001A1162">
        <w:rPr>
          <w:b/>
          <w:lang w:val="uk-UA"/>
        </w:rPr>
        <w:t>Предмет закупівлі:</w:t>
      </w:r>
    </w:p>
    <w:p w14:paraId="45C94124" w14:textId="77777777" w:rsidR="006351E8" w:rsidRPr="001A1162" w:rsidRDefault="006351E8" w:rsidP="006351E8">
      <w:pPr>
        <w:pStyle w:val="a9"/>
        <w:numPr>
          <w:ilvl w:val="0"/>
          <w:numId w:val="4"/>
        </w:numPr>
        <w:ind w:left="851" w:firstLine="0"/>
        <w:jc w:val="both"/>
        <w:rPr>
          <w:color w:val="000000"/>
          <w:lang w:val="uk-UA"/>
        </w:rPr>
      </w:pPr>
      <w:r w:rsidRPr="001A1162">
        <w:rPr>
          <w:color w:val="000000"/>
          <w:lang w:val="uk-UA"/>
        </w:rPr>
        <w:t xml:space="preserve">Постачання </w:t>
      </w:r>
      <w:bookmarkStart w:id="0" w:name="_Hlk202354440"/>
      <w:r w:rsidRPr="001A1162">
        <w:rPr>
          <w:color w:val="000000"/>
          <w:lang w:val="uk-UA"/>
        </w:rPr>
        <w:t xml:space="preserve">програмного забезпечення </w:t>
      </w:r>
      <w:bookmarkEnd w:id="0"/>
      <w:r w:rsidRPr="001A1162">
        <w:rPr>
          <w:color w:val="000000"/>
          <w:lang w:val="uk-UA"/>
        </w:rPr>
        <w:t xml:space="preserve">для впровадження підсистеми керування ідентифікаційними даними та доступом, терміном на 1 (один) рік (далі – «ПЗ»). </w:t>
      </w:r>
    </w:p>
    <w:p w14:paraId="54D4EA27" w14:textId="77777777" w:rsidR="006351E8" w:rsidRPr="001A1162" w:rsidRDefault="006351E8" w:rsidP="006351E8">
      <w:pPr>
        <w:pStyle w:val="a9"/>
        <w:numPr>
          <w:ilvl w:val="0"/>
          <w:numId w:val="4"/>
        </w:numPr>
        <w:ind w:left="851" w:firstLine="0"/>
        <w:jc w:val="both"/>
        <w:rPr>
          <w:color w:val="000000"/>
          <w:lang w:val="uk-UA"/>
        </w:rPr>
      </w:pPr>
      <w:r w:rsidRPr="001A1162">
        <w:rPr>
          <w:color w:val="000000"/>
          <w:lang w:val="uk-UA"/>
        </w:rPr>
        <w:t xml:space="preserve">Надання </w:t>
      </w:r>
      <w:r w:rsidRPr="001A1162">
        <w:rPr>
          <w:lang w:val="uk-UA"/>
        </w:rPr>
        <w:t>послуг з впровадження підсистеми керування ідентифікаційними даними та доступом</w:t>
      </w:r>
      <w:r w:rsidRPr="001A1162">
        <w:rPr>
          <w:color w:val="000000"/>
          <w:lang w:val="uk-UA"/>
        </w:rPr>
        <w:t xml:space="preserve"> (далі – «Підсистема»).</w:t>
      </w:r>
    </w:p>
    <w:p w14:paraId="0727BF7A" w14:textId="77777777" w:rsidR="006351E8" w:rsidRPr="001A1162" w:rsidRDefault="006351E8" w:rsidP="006351E8">
      <w:pPr>
        <w:pStyle w:val="a9"/>
        <w:numPr>
          <w:ilvl w:val="0"/>
          <w:numId w:val="4"/>
        </w:numPr>
        <w:ind w:left="851" w:firstLine="0"/>
        <w:jc w:val="both"/>
        <w:rPr>
          <w:color w:val="000000"/>
          <w:lang w:val="uk-UA"/>
        </w:rPr>
      </w:pPr>
      <w:r w:rsidRPr="001A1162">
        <w:rPr>
          <w:color w:val="000000"/>
          <w:lang w:val="uk-UA"/>
        </w:rPr>
        <w:t xml:space="preserve">Надання </w:t>
      </w:r>
      <w:r w:rsidRPr="001A1162">
        <w:rPr>
          <w:lang w:val="uk-UA"/>
        </w:rPr>
        <w:t xml:space="preserve">послуг з розширеної технічної підтримки Підсистеми строком на 1 (один) </w:t>
      </w:r>
      <w:r>
        <w:rPr>
          <w:lang w:val="uk-UA"/>
        </w:rPr>
        <w:t>рік</w:t>
      </w:r>
      <w:r w:rsidRPr="001A1162">
        <w:rPr>
          <w:lang w:val="uk-UA"/>
        </w:rPr>
        <w:t>, починаючи з моменту завершення впровадження Підсистеми.</w:t>
      </w:r>
    </w:p>
    <w:p w14:paraId="1AE94E9D" w14:textId="77777777" w:rsidR="006351E8" w:rsidRPr="001A1162" w:rsidRDefault="006351E8" w:rsidP="006351E8">
      <w:pPr>
        <w:ind w:left="360"/>
        <w:jc w:val="both"/>
        <w:rPr>
          <w:lang w:val="uk-UA"/>
        </w:rPr>
      </w:pPr>
    </w:p>
    <w:p w14:paraId="0379A5B8" w14:textId="77777777" w:rsidR="006351E8" w:rsidRPr="001A1162" w:rsidRDefault="006351E8" w:rsidP="006351E8">
      <w:pPr>
        <w:numPr>
          <w:ilvl w:val="0"/>
          <w:numId w:val="2"/>
        </w:numPr>
        <w:tabs>
          <w:tab w:val="clear" w:pos="720"/>
        </w:tabs>
        <w:ind w:left="0" w:firstLine="567"/>
        <w:rPr>
          <w:b/>
          <w:lang w:val="uk-UA"/>
        </w:rPr>
      </w:pPr>
      <w:r w:rsidRPr="001A1162">
        <w:rPr>
          <w:b/>
          <w:lang w:val="uk-UA"/>
        </w:rPr>
        <w:t>Регламент проведення конкурсу та терміни</w:t>
      </w:r>
    </w:p>
    <w:p w14:paraId="6CD73EA9" w14:textId="77777777" w:rsidR="006351E8" w:rsidRPr="001A1162" w:rsidRDefault="006351E8" w:rsidP="006351E8">
      <w:pPr>
        <w:ind w:firstLine="567"/>
        <w:jc w:val="both"/>
        <w:rPr>
          <w:lang w:val="uk-UA"/>
        </w:rPr>
      </w:pPr>
      <w:r w:rsidRPr="001A1162">
        <w:rPr>
          <w:lang w:val="uk-UA"/>
        </w:rPr>
        <w:t xml:space="preserve">3.1. Контактна особа з організаційних і технічних питань: Роман Стефанишин, менеджер департаменту інформаційної безпеки, (електронна пошта </w:t>
      </w:r>
      <w:hyperlink r:id="rId5" w:history="1">
        <w:r w:rsidRPr="001A1162">
          <w:rPr>
            <w:rStyle w:val="af1"/>
            <w:rFonts w:eastAsiaTheme="majorEastAsia"/>
            <w:lang w:val="uk-UA"/>
          </w:rPr>
          <w:t>RStefanyshyn@gng.com.ua</w:t>
        </w:r>
      </w:hyperlink>
      <w:r w:rsidRPr="001A1162">
        <w:rPr>
          <w:lang w:val="uk-UA"/>
        </w:rPr>
        <w:t xml:space="preserve">). </w:t>
      </w:r>
    </w:p>
    <w:p w14:paraId="188BC9CA" w14:textId="77777777" w:rsidR="006351E8" w:rsidRPr="001A1162" w:rsidRDefault="006351E8" w:rsidP="006351E8">
      <w:pPr>
        <w:ind w:firstLine="567"/>
        <w:jc w:val="both"/>
        <w:rPr>
          <w:lang w:val="uk-UA"/>
        </w:rPr>
      </w:pPr>
      <w:r w:rsidRPr="001A1162">
        <w:rPr>
          <w:lang w:val="uk-UA"/>
        </w:rPr>
        <w:t>Додаткова інформація може бути надана на вимогу, якщо вона буде відповідати предмету конкурсу.</w:t>
      </w:r>
    </w:p>
    <w:p w14:paraId="45C90F8B" w14:textId="77777777" w:rsidR="006351E8" w:rsidRPr="001A1162" w:rsidRDefault="006351E8" w:rsidP="006351E8">
      <w:pPr>
        <w:ind w:firstLine="567"/>
        <w:rPr>
          <w:color w:val="000000"/>
          <w:lang w:val="uk-UA"/>
        </w:rPr>
      </w:pPr>
      <w:r w:rsidRPr="001A1162">
        <w:rPr>
          <w:lang w:val="uk-UA"/>
        </w:rPr>
        <w:t xml:space="preserve">3.2. </w:t>
      </w:r>
      <w:r w:rsidRPr="001A1162">
        <w:rPr>
          <w:color w:val="000000"/>
          <w:lang w:val="uk-UA"/>
        </w:rPr>
        <w:t>Регламент проведення конкурсу:</w:t>
      </w:r>
    </w:p>
    <w:p w14:paraId="4D661413" w14:textId="77777777" w:rsidR="006351E8" w:rsidRPr="001A1162" w:rsidRDefault="006351E8" w:rsidP="006351E8">
      <w:pPr>
        <w:numPr>
          <w:ilvl w:val="0"/>
          <w:numId w:val="1"/>
        </w:numPr>
        <w:tabs>
          <w:tab w:val="clear" w:pos="1068"/>
        </w:tabs>
        <w:ind w:left="851" w:firstLine="0"/>
        <w:jc w:val="both"/>
        <w:rPr>
          <w:lang w:val="uk-UA"/>
        </w:rPr>
      </w:pPr>
      <w:r w:rsidRPr="001A1162">
        <w:rPr>
          <w:lang w:val="uk-UA"/>
        </w:rPr>
        <w:t>Формування та розсилка Запиту на комерційну пропозицію.</w:t>
      </w:r>
    </w:p>
    <w:p w14:paraId="601CE8CE" w14:textId="77777777" w:rsidR="006351E8" w:rsidRPr="001A1162" w:rsidRDefault="006351E8" w:rsidP="006351E8">
      <w:pPr>
        <w:numPr>
          <w:ilvl w:val="0"/>
          <w:numId w:val="1"/>
        </w:numPr>
        <w:tabs>
          <w:tab w:val="clear" w:pos="1068"/>
        </w:tabs>
        <w:ind w:left="851" w:firstLine="0"/>
        <w:jc w:val="both"/>
        <w:rPr>
          <w:lang w:val="uk-UA"/>
        </w:rPr>
      </w:pPr>
      <w:r w:rsidRPr="001A1162">
        <w:rPr>
          <w:lang w:val="uk-UA"/>
        </w:rPr>
        <w:t>Отримання комерційних пропозицій.</w:t>
      </w:r>
    </w:p>
    <w:p w14:paraId="501C00C0" w14:textId="77777777" w:rsidR="006351E8" w:rsidRPr="001A1162" w:rsidRDefault="006351E8" w:rsidP="006351E8">
      <w:pPr>
        <w:numPr>
          <w:ilvl w:val="0"/>
          <w:numId w:val="1"/>
        </w:numPr>
        <w:tabs>
          <w:tab w:val="clear" w:pos="1068"/>
        </w:tabs>
        <w:ind w:left="851" w:firstLine="0"/>
        <w:jc w:val="both"/>
        <w:rPr>
          <w:lang w:val="uk-UA"/>
        </w:rPr>
      </w:pPr>
      <w:r w:rsidRPr="001A1162">
        <w:rPr>
          <w:lang w:val="uk-UA"/>
        </w:rPr>
        <w:t>Аналіз та оцінка комерційних пропозицій, формування короткого списку.</w:t>
      </w:r>
    </w:p>
    <w:p w14:paraId="5D559E64" w14:textId="77777777" w:rsidR="006351E8" w:rsidRPr="001A1162" w:rsidRDefault="006351E8" w:rsidP="006351E8">
      <w:pPr>
        <w:numPr>
          <w:ilvl w:val="0"/>
          <w:numId w:val="1"/>
        </w:numPr>
        <w:tabs>
          <w:tab w:val="clear" w:pos="1068"/>
        </w:tabs>
        <w:ind w:left="851" w:firstLine="0"/>
        <w:jc w:val="both"/>
        <w:rPr>
          <w:lang w:val="uk-UA"/>
        </w:rPr>
      </w:pPr>
      <w:r w:rsidRPr="001A1162">
        <w:rPr>
          <w:lang w:val="uk-UA"/>
        </w:rPr>
        <w:t>На вимогу Замовника проведення презентації комерційної пропозиції учасників “on-line». Час узгоджується індивідуально. Тривалість презентації не більше ніж 2 години. Презентацію пропозиції повинен проводити керівник проекту.</w:t>
      </w:r>
    </w:p>
    <w:p w14:paraId="38AA3799" w14:textId="77777777" w:rsidR="006351E8" w:rsidRPr="001A1162" w:rsidRDefault="006351E8" w:rsidP="006351E8">
      <w:pPr>
        <w:numPr>
          <w:ilvl w:val="0"/>
          <w:numId w:val="1"/>
        </w:numPr>
        <w:tabs>
          <w:tab w:val="clear" w:pos="1068"/>
        </w:tabs>
        <w:ind w:left="851" w:firstLine="0"/>
        <w:jc w:val="both"/>
        <w:rPr>
          <w:lang w:val="uk-UA"/>
        </w:rPr>
      </w:pPr>
      <w:r w:rsidRPr="001A1162">
        <w:rPr>
          <w:lang w:val="uk-UA"/>
        </w:rPr>
        <w:t>Проведення редукціону серед учасників, які пройшли кваліфікаційний відбір та надали пропозицію, яка відповідає вимогам тендеру (заплановано багатокроковий редукціон).</w:t>
      </w:r>
    </w:p>
    <w:p w14:paraId="7523B72E" w14:textId="77777777" w:rsidR="006351E8" w:rsidRPr="001A1162" w:rsidRDefault="006351E8" w:rsidP="006351E8">
      <w:pPr>
        <w:numPr>
          <w:ilvl w:val="0"/>
          <w:numId w:val="1"/>
        </w:numPr>
        <w:tabs>
          <w:tab w:val="clear" w:pos="1068"/>
        </w:tabs>
        <w:ind w:left="851" w:firstLine="0"/>
        <w:jc w:val="both"/>
        <w:rPr>
          <w:lang w:val="uk-UA"/>
        </w:rPr>
      </w:pPr>
      <w:r w:rsidRPr="001A1162">
        <w:rPr>
          <w:lang w:val="uk-UA"/>
        </w:rPr>
        <w:t>Погодження та підпис договору.</w:t>
      </w:r>
    </w:p>
    <w:p w14:paraId="76374E4D" w14:textId="77777777" w:rsidR="006351E8" w:rsidRPr="001A1162" w:rsidRDefault="006351E8" w:rsidP="006351E8">
      <w:pPr>
        <w:ind w:left="709"/>
        <w:jc w:val="both"/>
        <w:rPr>
          <w:lang w:val="uk-UA"/>
        </w:rPr>
      </w:pPr>
    </w:p>
    <w:p w14:paraId="42C3E412" w14:textId="77777777" w:rsidR="006351E8" w:rsidRPr="001A1162" w:rsidRDefault="006351E8" w:rsidP="006351E8">
      <w:pPr>
        <w:pStyle w:val="a9"/>
        <w:numPr>
          <w:ilvl w:val="0"/>
          <w:numId w:val="2"/>
        </w:numPr>
        <w:tabs>
          <w:tab w:val="clear" w:pos="720"/>
        </w:tabs>
        <w:ind w:left="0" w:firstLine="567"/>
        <w:rPr>
          <w:b/>
          <w:lang w:val="uk-UA"/>
        </w:rPr>
      </w:pPr>
      <w:r w:rsidRPr="001A1162">
        <w:rPr>
          <w:b/>
          <w:lang w:val="uk-UA"/>
        </w:rPr>
        <w:t>Специфікація програмного забезпечення та послуг</w:t>
      </w:r>
    </w:p>
    <w:p w14:paraId="7011695E" w14:textId="77777777" w:rsidR="006351E8" w:rsidRPr="001A1162" w:rsidRDefault="006351E8" w:rsidP="006351E8">
      <w:pPr>
        <w:ind w:firstLine="567"/>
        <w:jc w:val="both"/>
        <w:rPr>
          <w:lang w:val="uk-UA"/>
        </w:rPr>
      </w:pPr>
      <w:r w:rsidRPr="001A1162">
        <w:rPr>
          <w:lang w:val="uk-UA"/>
        </w:rPr>
        <w:t xml:space="preserve">У рамках конкурсу Учасник повинен надати специфікацію програмного забезпечення та послуг згідно наведених нижче вимог та заповнений Додаток №1. </w:t>
      </w:r>
    </w:p>
    <w:p w14:paraId="67042B64" w14:textId="77777777" w:rsidR="006351E8" w:rsidRPr="001A1162" w:rsidRDefault="006351E8" w:rsidP="006351E8">
      <w:pPr>
        <w:ind w:firstLine="708"/>
        <w:jc w:val="both"/>
        <w:rPr>
          <w:lang w:val="uk-UA"/>
        </w:rPr>
      </w:pPr>
    </w:p>
    <w:p w14:paraId="26017911" w14:textId="77777777" w:rsidR="006351E8" w:rsidRPr="001A1162" w:rsidRDefault="006351E8" w:rsidP="006351E8">
      <w:pPr>
        <w:pStyle w:val="a9"/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b/>
          <w:lang w:val="uk-UA"/>
        </w:rPr>
      </w:pPr>
      <w:r w:rsidRPr="001A1162">
        <w:rPr>
          <w:b/>
          <w:lang w:val="uk-UA"/>
        </w:rPr>
        <w:t>Вимоги щодо кваліфікації Учасника</w:t>
      </w:r>
    </w:p>
    <w:p w14:paraId="218E3D92" w14:textId="77777777" w:rsidR="006351E8" w:rsidRPr="001A1162" w:rsidRDefault="006351E8" w:rsidP="006351E8">
      <w:pPr>
        <w:ind w:firstLine="567"/>
        <w:jc w:val="both"/>
        <w:rPr>
          <w:lang w:val="uk-UA"/>
        </w:rPr>
      </w:pPr>
      <w:r w:rsidRPr="001A1162">
        <w:rPr>
          <w:lang w:val="uk-UA"/>
        </w:rPr>
        <w:t xml:space="preserve">Учасник повинен мати статус </w:t>
      </w:r>
      <w:r>
        <w:rPr>
          <w:lang w:val="uk-UA"/>
        </w:rPr>
        <w:t>авторизованого</w:t>
      </w:r>
      <w:r w:rsidRPr="001A1162">
        <w:rPr>
          <w:lang w:val="uk-UA"/>
        </w:rPr>
        <w:t xml:space="preserve"> партнера виробника рішення якого подає пропозицію, що підтверджується авторизаційним листом від виробника програмного забезпечення та/або офіційним представником виробника в Україні.</w:t>
      </w:r>
    </w:p>
    <w:p w14:paraId="68DCCCF3" w14:textId="77777777" w:rsidR="006351E8" w:rsidRPr="001A1162" w:rsidRDefault="006351E8" w:rsidP="006351E8">
      <w:pPr>
        <w:ind w:firstLine="567"/>
        <w:jc w:val="both"/>
        <w:rPr>
          <w:lang w:val="uk-UA"/>
        </w:rPr>
      </w:pPr>
      <w:r w:rsidRPr="001A1162">
        <w:rPr>
          <w:lang w:val="uk-UA"/>
        </w:rPr>
        <w:t>Учасник повинен мати досвід постачання та надання послуг з впровадження програмного забезпечення</w:t>
      </w:r>
      <w:r w:rsidRPr="001A1162">
        <w:rPr>
          <w:lang w:val="en-US"/>
        </w:rPr>
        <w:t xml:space="preserve"> </w:t>
      </w:r>
      <w:r w:rsidRPr="001A1162">
        <w:rPr>
          <w:lang w:val="uk-UA"/>
        </w:rPr>
        <w:t>для інформаційної безпеки. На підтвердження Виконавець повинен надати не менше 3 (трьох) листів-відгуків про надання аналогічних послуг.</w:t>
      </w:r>
    </w:p>
    <w:p w14:paraId="79AF67FB" w14:textId="77777777" w:rsidR="006351E8" w:rsidRPr="001A1162" w:rsidRDefault="006351E8" w:rsidP="006351E8">
      <w:pPr>
        <w:spacing w:after="160" w:line="259" w:lineRule="auto"/>
        <w:rPr>
          <w:lang w:val="uk-UA"/>
        </w:rPr>
      </w:pPr>
      <w:r w:rsidRPr="001A1162">
        <w:rPr>
          <w:lang w:val="uk-UA"/>
        </w:rPr>
        <w:br w:type="page"/>
      </w:r>
    </w:p>
    <w:p w14:paraId="593502FD" w14:textId="77777777" w:rsidR="006351E8" w:rsidRPr="001A1162" w:rsidRDefault="006351E8" w:rsidP="006351E8">
      <w:pPr>
        <w:pStyle w:val="a9"/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b/>
          <w:lang w:val="uk-UA"/>
        </w:rPr>
      </w:pPr>
      <w:bookmarkStart w:id="1" w:name="_Hlk202354160"/>
      <w:r w:rsidRPr="001A1162">
        <w:rPr>
          <w:b/>
          <w:lang w:val="uk-UA"/>
        </w:rPr>
        <w:lastRenderedPageBreak/>
        <w:t>Технічні вимоги:</w:t>
      </w:r>
    </w:p>
    <w:p w14:paraId="61C09905" w14:textId="77777777" w:rsidR="006351E8" w:rsidRPr="001A1162" w:rsidRDefault="006351E8" w:rsidP="006351E8">
      <w:pPr>
        <w:jc w:val="both"/>
        <w:rPr>
          <w:b/>
          <w:lang w:val="uk-UA"/>
        </w:rPr>
      </w:pPr>
    </w:p>
    <w:tbl>
      <w:tblPr>
        <w:tblStyle w:val="af2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129"/>
        <w:gridCol w:w="8931"/>
      </w:tblGrid>
      <w:tr w:rsidR="006351E8" w:rsidRPr="001A1162" w14:paraId="112C98D4" w14:textId="77777777" w:rsidTr="00155C2A">
        <w:tc>
          <w:tcPr>
            <w:tcW w:w="10060" w:type="dxa"/>
            <w:gridSpan w:val="2"/>
          </w:tcPr>
          <w:p w14:paraId="34BB5159" w14:textId="77777777" w:rsidR="006351E8" w:rsidRPr="001A1162" w:rsidRDefault="006351E8" w:rsidP="00155C2A">
            <w:pPr>
              <w:ind w:firstLine="589"/>
              <w:jc w:val="center"/>
              <w:rPr>
                <w:b/>
              </w:rPr>
            </w:pPr>
            <w:r w:rsidRPr="001A1162">
              <w:rPr>
                <w:b/>
                <w:lang w:val="uk-UA"/>
              </w:rPr>
              <w:t xml:space="preserve">6.1. </w:t>
            </w:r>
            <w:r w:rsidRPr="001A1162">
              <w:t xml:space="preserve"> </w:t>
            </w:r>
            <w:r w:rsidRPr="001A1162">
              <w:rPr>
                <w:b/>
                <w:lang w:val="uk-UA"/>
              </w:rPr>
              <w:t xml:space="preserve">До програмного забезпечення </w:t>
            </w:r>
            <w:r w:rsidRPr="001A1162">
              <w:t xml:space="preserve"> </w:t>
            </w:r>
            <w:r w:rsidRPr="001A1162">
              <w:rPr>
                <w:b/>
                <w:lang w:val="uk-UA"/>
              </w:rPr>
              <w:t>підсистеми керування ідентифікаційними даними та доступом</w:t>
            </w:r>
            <w:r w:rsidRPr="001A1162">
              <w:rPr>
                <w:b/>
                <w:color w:val="000000"/>
                <w:lang w:val="uk-UA"/>
              </w:rPr>
              <w:t>:</w:t>
            </w:r>
          </w:p>
        </w:tc>
      </w:tr>
      <w:tr w:rsidR="006351E8" w:rsidRPr="001A1162" w14:paraId="62D081C6" w14:textId="77777777" w:rsidTr="00155C2A">
        <w:tc>
          <w:tcPr>
            <w:tcW w:w="1129" w:type="dxa"/>
          </w:tcPr>
          <w:p w14:paraId="76EFBA27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65C572C3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забезпечувати </w:t>
            </w:r>
            <w:r w:rsidRPr="002143C0">
              <w:rPr>
                <w:b/>
                <w:bCs/>
                <w:lang w:val="uk-UA"/>
              </w:rPr>
              <w:t>централізований контроль автентифікації та авторизації</w:t>
            </w:r>
            <w:r w:rsidRPr="002143C0">
              <w:rPr>
                <w:lang w:val="uk-UA"/>
              </w:rPr>
              <w:t xml:space="preserve"> для користувачів, сервісних акаунтів, привілейованих облікових записів та доступу до серверних ОС, баз даних і хмарних застосунків (єдиний інтерфейс керування).</w:t>
            </w:r>
          </w:p>
        </w:tc>
      </w:tr>
      <w:tr w:rsidR="006351E8" w:rsidRPr="001A1162" w14:paraId="7156E8DC" w14:textId="77777777" w:rsidTr="00155C2A">
        <w:tc>
          <w:tcPr>
            <w:tcW w:w="1129" w:type="dxa"/>
          </w:tcPr>
          <w:p w14:paraId="740F6816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0E19080F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підтримувати </w:t>
            </w:r>
            <w:r w:rsidRPr="002143C0">
              <w:rPr>
                <w:b/>
                <w:bCs/>
                <w:lang w:val="uk-UA"/>
              </w:rPr>
              <w:t>масштабування</w:t>
            </w:r>
            <w:r w:rsidRPr="002143C0">
              <w:rPr>
                <w:lang w:val="uk-UA"/>
              </w:rPr>
              <w:t xml:space="preserve"> для моніторингу безпеки для </w:t>
            </w:r>
            <w:r w:rsidRPr="002143C0">
              <w:rPr>
                <w:b/>
                <w:bCs/>
                <w:lang w:val="uk-UA"/>
              </w:rPr>
              <w:t>не менше 3000 облікових записів</w:t>
            </w:r>
            <w:r w:rsidRPr="002143C0">
              <w:rPr>
                <w:lang w:val="uk-UA"/>
              </w:rPr>
              <w:t>, із можливістю подальшого розширення.</w:t>
            </w:r>
          </w:p>
        </w:tc>
      </w:tr>
      <w:tr w:rsidR="006351E8" w:rsidRPr="001A1162" w14:paraId="5AB1EFF1" w14:textId="77777777" w:rsidTr="00155C2A">
        <w:tc>
          <w:tcPr>
            <w:tcW w:w="1129" w:type="dxa"/>
          </w:tcPr>
          <w:p w14:paraId="2E302FB7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09A3599F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підтримувати </w:t>
            </w:r>
            <w:r w:rsidRPr="002143C0">
              <w:rPr>
                <w:b/>
                <w:bCs/>
                <w:lang w:val="uk-UA"/>
              </w:rPr>
              <w:t>захист не менше ніж 150 сервісних облікових записів та 250 привілейованих облікових акаунтів</w:t>
            </w:r>
            <w:r w:rsidRPr="002143C0">
              <w:rPr>
                <w:lang w:val="uk-UA"/>
              </w:rPr>
              <w:t xml:space="preserve"> із автоматичним виявленням та класифікацією (Privileged Access Security, Service Accounts, Cloud Non-Human Identities).</w:t>
            </w:r>
          </w:p>
        </w:tc>
      </w:tr>
      <w:tr w:rsidR="006351E8" w:rsidRPr="001A1162" w14:paraId="5563961E" w14:textId="77777777" w:rsidTr="00155C2A">
        <w:tc>
          <w:tcPr>
            <w:tcW w:w="1129" w:type="dxa"/>
          </w:tcPr>
          <w:p w14:paraId="774EDFD1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27ED4B04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підтримувати можливість впровадження </w:t>
            </w:r>
            <w:r w:rsidRPr="002143C0">
              <w:rPr>
                <w:b/>
                <w:bCs/>
                <w:lang w:val="uk-UA"/>
              </w:rPr>
              <w:t>багатофакторної автентифікації (MFA) без агентів</w:t>
            </w:r>
            <w:r w:rsidRPr="002143C0">
              <w:rPr>
                <w:lang w:val="uk-UA"/>
              </w:rPr>
              <w:t xml:space="preserve"> на кінцевих системах і пристроях користувачів (agentless MFA).</w:t>
            </w:r>
          </w:p>
        </w:tc>
      </w:tr>
      <w:tr w:rsidR="006351E8" w:rsidRPr="001A1162" w14:paraId="042582D4" w14:textId="77777777" w:rsidTr="00155C2A">
        <w:tc>
          <w:tcPr>
            <w:tcW w:w="1129" w:type="dxa"/>
          </w:tcPr>
          <w:p w14:paraId="6882E98B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014661E0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забезпечувати MFA та контроль автентифікації у </w:t>
            </w:r>
            <w:r w:rsidRPr="002143C0">
              <w:rPr>
                <w:b/>
                <w:bCs/>
                <w:lang w:val="uk-UA"/>
              </w:rPr>
              <w:t>середовищах з legacy-протоколами</w:t>
            </w:r>
            <w:r w:rsidRPr="002143C0">
              <w:rPr>
                <w:lang w:val="uk-UA"/>
              </w:rPr>
              <w:t xml:space="preserve"> (Kerberos, NTLM, LDAP), які не підтримують сучасні механізми безпеки.</w:t>
            </w:r>
          </w:p>
        </w:tc>
      </w:tr>
      <w:tr w:rsidR="006351E8" w:rsidRPr="001A1162" w14:paraId="23A235A3" w14:textId="77777777" w:rsidTr="00155C2A">
        <w:tc>
          <w:tcPr>
            <w:tcW w:w="1129" w:type="dxa"/>
          </w:tcPr>
          <w:p w14:paraId="2E18B830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055EDF1E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дозволяти налаштовувати MFA для </w:t>
            </w:r>
            <w:r w:rsidRPr="002143C0">
              <w:rPr>
                <w:b/>
                <w:bCs/>
                <w:lang w:val="uk-UA"/>
              </w:rPr>
              <w:t>будь-якого ресурсу</w:t>
            </w:r>
            <w:r w:rsidRPr="002143C0">
              <w:rPr>
                <w:lang w:val="uk-UA"/>
              </w:rPr>
              <w:t xml:space="preserve"> (сервери, бази даних, VPN, мережеве обладнання), що використовує централізовану автентифікацію.</w:t>
            </w:r>
          </w:p>
        </w:tc>
      </w:tr>
      <w:tr w:rsidR="006351E8" w:rsidRPr="001A1162" w14:paraId="0BB65F30" w14:textId="77777777" w:rsidTr="00155C2A">
        <w:tc>
          <w:tcPr>
            <w:tcW w:w="1129" w:type="dxa"/>
          </w:tcPr>
          <w:p w14:paraId="20F08519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462EC7DE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підтримувати </w:t>
            </w:r>
            <w:r w:rsidRPr="002143C0">
              <w:rPr>
                <w:b/>
                <w:bCs/>
                <w:lang w:val="uk-UA"/>
              </w:rPr>
              <w:t>політики умовного доступу (Conditional Access)</w:t>
            </w:r>
            <w:r w:rsidRPr="002143C0">
              <w:rPr>
                <w:lang w:val="uk-UA"/>
              </w:rPr>
              <w:t xml:space="preserve"> з урахуванням </w:t>
            </w:r>
            <w:r w:rsidRPr="002143C0">
              <w:rPr>
                <w:b/>
                <w:bCs/>
                <w:lang w:val="uk-UA"/>
              </w:rPr>
              <w:t>ризиків автентифікації</w:t>
            </w:r>
            <w:r w:rsidRPr="002143C0">
              <w:rPr>
                <w:lang w:val="uk-UA"/>
              </w:rPr>
              <w:t xml:space="preserve"> (географія, час, пристрій, підозрілі сесії тощо).</w:t>
            </w:r>
          </w:p>
        </w:tc>
      </w:tr>
      <w:tr w:rsidR="006351E8" w:rsidRPr="001A1162" w14:paraId="248DAA4B" w14:textId="77777777" w:rsidTr="00155C2A">
        <w:tc>
          <w:tcPr>
            <w:tcW w:w="1129" w:type="dxa"/>
          </w:tcPr>
          <w:p w14:paraId="6E6E73D3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1E5E591F" w14:textId="77777777" w:rsidR="006351E8" w:rsidRPr="00783D68" w:rsidRDefault="006351E8" w:rsidP="00155C2A">
            <w:p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 xml:space="preserve">ПЗ має забезпечувати </w:t>
            </w:r>
            <w:r w:rsidRPr="00783D68">
              <w:rPr>
                <w:b/>
                <w:bCs/>
                <w:lang w:val="uk-UA"/>
              </w:rPr>
              <w:t>захист сервісних акаунтів</w:t>
            </w:r>
            <w:r w:rsidRPr="00783D68">
              <w:rPr>
                <w:lang w:val="uk-UA"/>
              </w:rPr>
              <w:t>, включно з контролем використання лише в заданому контексті та забороною lateral movement.</w:t>
            </w:r>
          </w:p>
        </w:tc>
      </w:tr>
      <w:tr w:rsidR="006351E8" w:rsidRPr="001A1162" w14:paraId="33BDDEF7" w14:textId="77777777" w:rsidTr="00155C2A">
        <w:tc>
          <w:tcPr>
            <w:tcW w:w="1129" w:type="dxa"/>
          </w:tcPr>
          <w:p w14:paraId="69CAC347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22B2784D" w14:textId="77777777" w:rsidR="006351E8" w:rsidRPr="00783D68" w:rsidRDefault="006351E8" w:rsidP="00155C2A">
            <w:p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 xml:space="preserve">ПЗ має дозволяти контролювати та обмежувати </w:t>
            </w:r>
            <w:r w:rsidRPr="00783D68">
              <w:rPr>
                <w:b/>
                <w:bCs/>
                <w:lang w:val="uk-UA"/>
              </w:rPr>
              <w:t>кількість активних сесій сервісних акаунтів</w:t>
            </w:r>
            <w:r w:rsidRPr="00783D68">
              <w:rPr>
                <w:lang w:val="uk-UA"/>
              </w:rPr>
              <w:t>.</w:t>
            </w:r>
          </w:p>
        </w:tc>
      </w:tr>
      <w:tr w:rsidR="006351E8" w:rsidRPr="001A1162" w14:paraId="1C49089A" w14:textId="77777777" w:rsidTr="00155C2A">
        <w:tc>
          <w:tcPr>
            <w:tcW w:w="1129" w:type="dxa"/>
          </w:tcPr>
          <w:p w14:paraId="161F7E07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51329348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забезпечувати </w:t>
            </w:r>
            <w:r w:rsidRPr="002143C0">
              <w:rPr>
                <w:b/>
                <w:bCs/>
                <w:lang w:val="uk-UA"/>
              </w:rPr>
              <w:t>моніторинг та аудит усіх подій автентифікації у реальному часі</w:t>
            </w:r>
            <w:r w:rsidRPr="002143C0">
              <w:rPr>
                <w:lang w:val="uk-UA"/>
              </w:rPr>
              <w:t>, зберігання логів та їх подальший аналіз.</w:t>
            </w:r>
          </w:p>
        </w:tc>
      </w:tr>
      <w:tr w:rsidR="006351E8" w:rsidRPr="001A1162" w14:paraId="0ED4A418" w14:textId="77777777" w:rsidTr="00155C2A">
        <w:tc>
          <w:tcPr>
            <w:tcW w:w="1129" w:type="dxa"/>
          </w:tcPr>
          <w:p w14:paraId="38DBAE73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5EC03596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підтримувати </w:t>
            </w:r>
            <w:r w:rsidRPr="002143C0">
              <w:rPr>
                <w:b/>
                <w:bCs/>
                <w:lang w:val="uk-UA"/>
              </w:rPr>
              <w:t>сповіщення адміністраторів про підозрілі спроби автентифікації</w:t>
            </w:r>
            <w:r w:rsidRPr="002143C0">
              <w:rPr>
                <w:lang w:val="uk-UA"/>
              </w:rPr>
              <w:t xml:space="preserve"> (Risk Indicators, Threat Indicators).</w:t>
            </w:r>
          </w:p>
        </w:tc>
      </w:tr>
      <w:tr w:rsidR="006351E8" w:rsidRPr="001A1162" w14:paraId="4FC74634" w14:textId="77777777" w:rsidTr="00155C2A">
        <w:tc>
          <w:tcPr>
            <w:tcW w:w="1129" w:type="dxa"/>
          </w:tcPr>
          <w:p w14:paraId="0EA7F614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5C980A12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інтегруватися з </w:t>
            </w:r>
            <w:r w:rsidRPr="002143C0">
              <w:rPr>
                <w:b/>
                <w:bCs/>
                <w:lang w:val="uk-UA"/>
              </w:rPr>
              <w:t>SIEM та SOAR</w:t>
            </w:r>
            <w:r w:rsidRPr="002143C0">
              <w:rPr>
                <w:lang w:val="uk-UA"/>
              </w:rPr>
              <w:t xml:space="preserve"> для передавання подій автентифікації, інцидентів та ризикових показників у режимі реального часу.</w:t>
            </w:r>
          </w:p>
        </w:tc>
      </w:tr>
      <w:tr w:rsidR="006351E8" w:rsidRPr="001A1162" w14:paraId="600B8BF9" w14:textId="77777777" w:rsidTr="00155C2A">
        <w:tc>
          <w:tcPr>
            <w:tcW w:w="1129" w:type="dxa"/>
          </w:tcPr>
          <w:p w14:paraId="2ADD27C9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014C1D45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підтримувати інтеграцію з </w:t>
            </w:r>
            <w:r w:rsidRPr="002143C0">
              <w:rPr>
                <w:b/>
                <w:bCs/>
                <w:lang w:val="uk-UA"/>
              </w:rPr>
              <w:t>Active Directory</w:t>
            </w:r>
            <w:r w:rsidRPr="002143C0">
              <w:rPr>
                <w:lang w:val="uk-UA"/>
              </w:rPr>
              <w:t xml:space="preserve"> (у тому числі керування привілейованими акаунтами).</w:t>
            </w:r>
          </w:p>
        </w:tc>
      </w:tr>
      <w:tr w:rsidR="006351E8" w:rsidRPr="001A1162" w14:paraId="15D8DD0D" w14:textId="77777777" w:rsidTr="00155C2A">
        <w:tc>
          <w:tcPr>
            <w:tcW w:w="1129" w:type="dxa"/>
          </w:tcPr>
          <w:p w14:paraId="3605BA3B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14C64885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 xml:space="preserve">ПЗ має підтримувати інтеграцію з </w:t>
            </w:r>
            <w:r w:rsidRPr="00783D68">
              <w:rPr>
                <w:b/>
                <w:bCs/>
                <w:lang w:val="uk-UA"/>
              </w:rPr>
              <w:t xml:space="preserve">Microsoft </w:t>
            </w:r>
            <w:r w:rsidRPr="00783D68">
              <w:rPr>
                <w:b/>
                <w:bCs/>
                <w:lang w:val="en-US"/>
              </w:rPr>
              <w:t xml:space="preserve">Authenticator </w:t>
            </w:r>
            <w:r w:rsidRPr="00783D68">
              <w:rPr>
                <w:lang w:val="uk-UA"/>
              </w:rPr>
              <w:t>для</w:t>
            </w:r>
            <w:r w:rsidRPr="00783D68">
              <w:rPr>
                <w:lang w:val="en-US"/>
              </w:rPr>
              <w:t xml:space="preserve"> </w:t>
            </w:r>
            <w:r w:rsidRPr="00783D68">
              <w:rPr>
                <w:lang w:val="uk-UA"/>
              </w:rPr>
              <w:t xml:space="preserve">виклику та застосування </w:t>
            </w:r>
            <w:r w:rsidRPr="00783D68">
              <w:rPr>
                <w:lang w:val="en-US"/>
              </w:rPr>
              <w:t>MFA</w:t>
            </w:r>
            <w:r w:rsidRPr="00783D68">
              <w:rPr>
                <w:lang w:val="uk-UA"/>
              </w:rPr>
              <w:t>.</w:t>
            </w:r>
          </w:p>
        </w:tc>
      </w:tr>
      <w:tr w:rsidR="006351E8" w:rsidRPr="001A1162" w14:paraId="46FD48AD" w14:textId="77777777" w:rsidTr="00155C2A">
        <w:tc>
          <w:tcPr>
            <w:tcW w:w="1129" w:type="dxa"/>
          </w:tcPr>
          <w:p w14:paraId="3BA5012F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442B2A29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підтримувати використання </w:t>
            </w:r>
            <w:r w:rsidRPr="002143C0">
              <w:rPr>
                <w:b/>
                <w:bCs/>
                <w:lang w:val="uk-UA"/>
              </w:rPr>
              <w:t>push-сповіщень</w:t>
            </w:r>
            <w:r w:rsidRPr="002143C0">
              <w:rPr>
                <w:lang w:val="uk-UA"/>
              </w:rPr>
              <w:t xml:space="preserve"> як методів MFA</w:t>
            </w:r>
            <w:r>
              <w:rPr>
                <w:lang w:val="uk-UA"/>
              </w:rPr>
              <w:t xml:space="preserve"> для 250 </w:t>
            </w:r>
            <w:r w:rsidRPr="002143C0">
              <w:rPr>
                <w:b/>
                <w:bCs/>
                <w:lang w:val="uk-UA"/>
              </w:rPr>
              <w:t xml:space="preserve"> привілейованих облікових акаунтів</w:t>
            </w:r>
            <w:r w:rsidRPr="002143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використовуючи існуюче рішення MFA Microsoft </w:t>
            </w:r>
            <w:r>
              <w:rPr>
                <w:lang w:val="en-US"/>
              </w:rPr>
              <w:t xml:space="preserve">Authenticator </w:t>
            </w:r>
            <w:r>
              <w:rPr>
                <w:lang w:val="uk-UA"/>
              </w:rPr>
              <w:t xml:space="preserve">та </w:t>
            </w:r>
            <w:r w:rsidRPr="002143C0">
              <w:rPr>
                <w:lang w:val="uk-UA"/>
              </w:rPr>
              <w:t xml:space="preserve">через </w:t>
            </w:r>
            <w:r>
              <w:rPr>
                <w:lang w:val="uk-UA"/>
              </w:rPr>
              <w:t>власний</w:t>
            </w:r>
            <w:r w:rsidRPr="002143C0">
              <w:rPr>
                <w:lang w:val="uk-UA"/>
              </w:rPr>
              <w:t xml:space="preserve"> Mobile App</w:t>
            </w:r>
            <w:r>
              <w:rPr>
                <w:lang w:val="uk-UA"/>
              </w:rPr>
              <w:t xml:space="preserve"> для 25 </w:t>
            </w:r>
            <w:r w:rsidRPr="002143C0">
              <w:rPr>
                <w:b/>
                <w:bCs/>
                <w:lang w:val="uk-UA"/>
              </w:rPr>
              <w:t>облікових акаунтів</w:t>
            </w:r>
            <w:r>
              <w:rPr>
                <w:b/>
                <w:bCs/>
                <w:lang w:val="uk-UA"/>
              </w:rPr>
              <w:t xml:space="preserve"> </w:t>
            </w:r>
            <w:r w:rsidRPr="002143C0">
              <w:rPr>
                <w:bCs/>
                <w:lang w:val="uk-UA"/>
              </w:rPr>
              <w:t>(я</w:t>
            </w:r>
            <w:r>
              <w:rPr>
                <w:bCs/>
                <w:lang w:val="uk-UA"/>
              </w:rPr>
              <w:t>к резервний варіант</w:t>
            </w:r>
            <w:r w:rsidRPr="002143C0">
              <w:rPr>
                <w:bCs/>
                <w:lang w:val="uk-UA"/>
              </w:rPr>
              <w:t>)</w:t>
            </w:r>
            <w:r w:rsidRPr="002143C0">
              <w:rPr>
                <w:lang w:val="uk-UA"/>
              </w:rPr>
              <w:t>.</w:t>
            </w:r>
          </w:p>
        </w:tc>
      </w:tr>
      <w:tr w:rsidR="006351E8" w:rsidRPr="001A1162" w14:paraId="1C3F94D8" w14:textId="77777777" w:rsidTr="00155C2A">
        <w:tc>
          <w:tcPr>
            <w:tcW w:w="1129" w:type="dxa"/>
          </w:tcPr>
          <w:p w14:paraId="7DD9F042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2CE304E5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дозволяти створення </w:t>
            </w:r>
            <w:r w:rsidRPr="002143C0">
              <w:rPr>
                <w:b/>
                <w:bCs/>
                <w:lang w:val="uk-UA"/>
              </w:rPr>
              <w:t>винятків для критичних сервісних акаунтів</w:t>
            </w:r>
            <w:r w:rsidRPr="002143C0">
              <w:rPr>
                <w:lang w:val="uk-UA"/>
              </w:rPr>
              <w:t xml:space="preserve"> із документованим обґрунтуванням (наприклад, для сценаріїв break-glass).</w:t>
            </w:r>
          </w:p>
        </w:tc>
      </w:tr>
      <w:tr w:rsidR="006351E8" w:rsidRPr="001A1162" w14:paraId="4AB6FB2E" w14:textId="77777777" w:rsidTr="00155C2A">
        <w:tc>
          <w:tcPr>
            <w:tcW w:w="1129" w:type="dxa"/>
          </w:tcPr>
          <w:p w14:paraId="4E3DD92A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35C11107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забезпечувати </w:t>
            </w:r>
            <w:r w:rsidRPr="002143C0">
              <w:rPr>
                <w:b/>
                <w:bCs/>
                <w:lang w:val="uk-UA"/>
              </w:rPr>
              <w:t>контроль доступу до адміністративних інтерфейсів ОС, баз даних, хмарних сервісів</w:t>
            </w:r>
            <w:r w:rsidRPr="002143C0">
              <w:rPr>
                <w:lang w:val="uk-UA"/>
              </w:rPr>
              <w:t xml:space="preserve"> та виявлення привілейованих входів.</w:t>
            </w:r>
          </w:p>
        </w:tc>
      </w:tr>
      <w:tr w:rsidR="006351E8" w:rsidRPr="001A1162" w14:paraId="3B61FB05" w14:textId="77777777" w:rsidTr="00155C2A">
        <w:tc>
          <w:tcPr>
            <w:tcW w:w="1129" w:type="dxa"/>
          </w:tcPr>
          <w:p w14:paraId="68CEF20B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66288422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забезпечувати </w:t>
            </w:r>
            <w:r w:rsidRPr="002143C0">
              <w:rPr>
                <w:b/>
                <w:bCs/>
                <w:lang w:val="uk-UA"/>
              </w:rPr>
              <w:t>централізоване управління політиками доступу через єдиний інтерфейс</w:t>
            </w:r>
            <w:r w:rsidRPr="002143C0">
              <w:rPr>
                <w:lang w:val="uk-UA"/>
              </w:rPr>
              <w:t xml:space="preserve">, з підтримкою </w:t>
            </w:r>
            <w:r w:rsidRPr="002143C0">
              <w:rPr>
                <w:b/>
                <w:bCs/>
                <w:lang w:val="uk-UA"/>
              </w:rPr>
              <w:t>шаблонів політик</w:t>
            </w:r>
            <w:r w:rsidRPr="002143C0">
              <w:rPr>
                <w:lang w:val="uk-UA"/>
              </w:rPr>
              <w:t xml:space="preserve"> і гнучким налаштуванням (Policy Templates, Custom Policies).</w:t>
            </w:r>
          </w:p>
        </w:tc>
      </w:tr>
      <w:tr w:rsidR="006351E8" w:rsidRPr="001A1162" w14:paraId="162F1AEE" w14:textId="77777777" w:rsidTr="00155C2A">
        <w:tc>
          <w:tcPr>
            <w:tcW w:w="1129" w:type="dxa"/>
          </w:tcPr>
          <w:p w14:paraId="38E7D385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30AA73F4" w14:textId="77777777" w:rsidR="006351E8" w:rsidRPr="002143C0" w:rsidRDefault="006351E8" w:rsidP="00155C2A">
            <w:pPr>
              <w:jc w:val="both"/>
              <w:rPr>
                <w:lang w:val="uk-UA"/>
              </w:rPr>
            </w:pPr>
            <w:r w:rsidRPr="00362F30">
              <w:rPr>
                <w:lang w:val="uk-UA"/>
              </w:rPr>
              <w:t xml:space="preserve">ПЗ має забезпечувати </w:t>
            </w:r>
            <w:r w:rsidRPr="00362F30">
              <w:rPr>
                <w:b/>
                <w:bCs/>
                <w:lang w:val="uk-UA"/>
              </w:rPr>
              <w:t>Just-In-Time (JIT) доступ</w:t>
            </w:r>
            <w:r w:rsidRPr="00362F30">
              <w:rPr>
                <w:lang w:val="uk-UA"/>
              </w:rPr>
              <w:t xml:space="preserve"> до привілейованих акаунтів із MFA та зазначенням причини доступу, з автоматичним відключенням після завершення сесії.</w:t>
            </w:r>
          </w:p>
        </w:tc>
      </w:tr>
      <w:tr w:rsidR="006351E8" w:rsidRPr="001A1162" w14:paraId="4F67FDF8" w14:textId="77777777" w:rsidTr="00155C2A">
        <w:tc>
          <w:tcPr>
            <w:tcW w:w="1129" w:type="dxa"/>
          </w:tcPr>
          <w:p w14:paraId="2828D449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4164B45C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забезпечувати </w:t>
            </w:r>
            <w:r w:rsidRPr="002143C0">
              <w:rPr>
                <w:b/>
                <w:bCs/>
                <w:lang w:val="uk-UA"/>
              </w:rPr>
              <w:t>виявлення та блокування атак на рівні автентифікації</w:t>
            </w:r>
            <w:r w:rsidRPr="002143C0">
              <w:rPr>
                <w:lang w:val="uk-UA"/>
              </w:rPr>
              <w:t xml:space="preserve"> (Pass-the-Hash, Pass-the-Ticke</w:t>
            </w:r>
            <w:r w:rsidRPr="00362F30">
              <w:rPr>
                <w:lang w:val="uk-UA"/>
              </w:rPr>
              <w:t>t, Kerberoasting, NTLM Relay, Golden Ticket, MFA Bombing тощо).</w:t>
            </w:r>
          </w:p>
        </w:tc>
      </w:tr>
      <w:tr w:rsidR="006351E8" w:rsidRPr="001A1162" w14:paraId="3023DEC4" w14:textId="77777777" w:rsidTr="00155C2A">
        <w:tc>
          <w:tcPr>
            <w:tcW w:w="1129" w:type="dxa"/>
          </w:tcPr>
          <w:p w14:paraId="6386F70C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4BC06D09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ПЗ має забезпечувати </w:t>
            </w:r>
            <w:r w:rsidRPr="002143C0">
              <w:rPr>
                <w:b/>
                <w:bCs/>
                <w:lang w:val="uk-UA"/>
              </w:rPr>
              <w:t>Identity Security Posture Management (ISPM)</w:t>
            </w:r>
            <w:r w:rsidRPr="002143C0">
              <w:rPr>
                <w:lang w:val="uk-UA"/>
              </w:rPr>
              <w:t xml:space="preserve"> – виявлення небезпечних налаштувань (unsafe practices), проблем із гігієною облікових записів (наприклад, паролі без експірації, слабке шифрування).</w:t>
            </w:r>
          </w:p>
        </w:tc>
      </w:tr>
      <w:tr w:rsidR="006351E8" w:rsidRPr="001A1162" w14:paraId="7EA41AC8" w14:textId="77777777" w:rsidTr="00155C2A">
        <w:tc>
          <w:tcPr>
            <w:tcW w:w="1129" w:type="dxa"/>
          </w:tcPr>
          <w:p w14:paraId="6B25DFA4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270179A3" w14:textId="77777777" w:rsidR="006351E8" w:rsidRPr="00362F30" w:rsidRDefault="006351E8" w:rsidP="00155C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 повинно підтримувати розгортання своїх компонентів в </w:t>
            </w:r>
            <w:r>
              <w:rPr>
                <w:lang w:val="en-US"/>
              </w:rPr>
              <w:t xml:space="preserve">Azure Cloud </w:t>
            </w:r>
            <w:r>
              <w:rPr>
                <w:lang w:val="uk-UA"/>
              </w:rPr>
              <w:t>інфраструктурі.</w:t>
            </w:r>
          </w:p>
        </w:tc>
      </w:tr>
      <w:tr w:rsidR="006351E8" w:rsidRPr="001A1162" w14:paraId="0D81FDAA" w14:textId="77777777" w:rsidTr="00155C2A">
        <w:tc>
          <w:tcPr>
            <w:tcW w:w="1129" w:type="dxa"/>
          </w:tcPr>
          <w:p w14:paraId="78A4702D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5770628F" w14:textId="77777777" w:rsidR="006351E8" w:rsidRPr="00DB1FCC" w:rsidRDefault="006351E8" w:rsidP="00155C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ПЗ повинно підтримувати інтеграцію з рішеннями </w:t>
            </w:r>
            <w:r>
              <w:rPr>
                <w:lang w:val="en-US"/>
              </w:rPr>
              <w:t xml:space="preserve">Microsoft </w:t>
            </w:r>
            <w:r>
              <w:rPr>
                <w:lang w:val="uk-UA"/>
              </w:rPr>
              <w:t xml:space="preserve">і наявність офіційної документації від </w:t>
            </w:r>
            <w:r>
              <w:rPr>
                <w:lang w:val="en-US"/>
              </w:rPr>
              <w:t xml:space="preserve">Microsoft </w:t>
            </w:r>
            <w:r>
              <w:rPr>
                <w:lang w:val="uk-UA"/>
              </w:rPr>
              <w:t>що підтверджує таку можливість</w:t>
            </w:r>
          </w:p>
        </w:tc>
      </w:tr>
      <w:tr w:rsidR="006351E8" w:rsidRPr="001A1162" w14:paraId="6E7EFFF9" w14:textId="77777777" w:rsidTr="00155C2A">
        <w:tc>
          <w:tcPr>
            <w:tcW w:w="1129" w:type="dxa"/>
          </w:tcPr>
          <w:p w14:paraId="4EED23F2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7A88D5CD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2143C0">
              <w:rPr>
                <w:lang w:val="uk-UA"/>
              </w:rPr>
              <w:t xml:space="preserve">Термін дії ліцензій і технічної підтримки від виробника має становити </w:t>
            </w:r>
            <w:r w:rsidRPr="002143C0">
              <w:rPr>
                <w:b/>
                <w:bCs/>
                <w:lang w:val="uk-UA"/>
              </w:rPr>
              <w:t>не менше 12 місяців</w:t>
            </w:r>
            <w:r w:rsidRPr="002143C0">
              <w:rPr>
                <w:lang w:val="uk-UA"/>
              </w:rPr>
              <w:t>.</w:t>
            </w:r>
          </w:p>
        </w:tc>
      </w:tr>
      <w:bookmarkEnd w:id="1"/>
      <w:tr w:rsidR="006351E8" w:rsidRPr="001A1162" w14:paraId="364F8E49" w14:textId="77777777" w:rsidTr="00155C2A">
        <w:tc>
          <w:tcPr>
            <w:tcW w:w="10060" w:type="dxa"/>
            <w:gridSpan w:val="2"/>
          </w:tcPr>
          <w:p w14:paraId="192EDFE2" w14:textId="77777777" w:rsidR="006351E8" w:rsidRPr="001A1162" w:rsidRDefault="006351E8" w:rsidP="00155C2A">
            <w:pPr>
              <w:ind w:left="589"/>
              <w:jc w:val="center"/>
              <w:rPr>
                <w:b/>
                <w:lang w:val="uk-UA"/>
              </w:rPr>
            </w:pPr>
            <w:r w:rsidRPr="001A1162">
              <w:rPr>
                <w:b/>
                <w:bCs/>
              </w:rPr>
              <w:lastRenderedPageBreak/>
              <w:t xml:space="preserve">6.2. </w:t>
            </w:r>
            <w:r w:rsidRPr="001A1162">
              <w:t xml:space="preserve"> </w:t>
            </w:r>
            <w:r w:rsidRPr="001A1162">
              <w:rPr>
                <w:b/>
                <w:bCs/>
                <w:lang w:val="uk-UA"/>
              </w:rPr>
              <w:t xml:space="preserve">Вимоги до процесу та обсягу послуг з впровадження Підсистеми </w:t>
            </w:r>
            <w:r w:rsidRPr="001A1162">
              <w:t xml:space="preserve"> </w:t>
            </w:r>
            <w:r w:rsidRPr="001A1162">
              <w:rPr>
                <w:b/>
                <w:bCs/>
                <w:lang w:val="uk-UA"/>
              </w:rPr>
              <w:t>керування ідентифікаційними даними та доступом:</w:t>
            </w:r>
          </w:p>
        </w:tc>
      </w:tr>
      <w:tr w:rsidR="006351E8" w:rsidRPr="001A1162" w14:paraId="62C07175" w14:textId="77777777" w:rsidTr="00155C2A">
        <w:tc>
          <w:tcPr>
            <w:tcW w:w="1129" w:type="dxa"/>
          </w:tcPr>
          <w:p w14:paraId="25124E4E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4A52BA43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провести обстеження існуючої інфраструктури Замовника та погодити технічне завдання для впровадження Підсистеми  керування ідентифікаційними даними та доступом.</w:t>
            </w:r>
          </w:p>
        </w:tc>
      </w:tr>
      <w:tr w:rsidR="006351E8" w:rsidRPr="001A1162" w14:paraId="746EA901" w14:textId="77777777" w:rsidTr="00155C2A">
        <w:tc>
          <w:tcPr>
            <w:tcW w:w="1129" w:type="dxa"/>
          </w:tcPr>
          <w:p w14:paraId="0BCD7C89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652F3DE1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повинен здійснити налаштування Підсистеми, провести інтеграцію в інфраструктуру та надати технічну та експлуатаційну документацію, яка складається з:</w:t>
            </w:r>
          </w:p>
          <w:p w14:paraId="6065BDB9" w14:textId="77777777" w:rsidR="006351E8" w:rsidRPr="001A1162" w:rsidRDefault="006351E8" w:rsidP="006351E8">
            <w:pPr>
              <w:pStyle w:val="a9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Паспорт підсистеми</w:t>
            </w:r>
          </w:p>
          <w:p w14:paraId="3A2C4C02" w14:textId="77777777" w:rsidR="006351E8" w:rsidRPr="001A1162" w:rsidRDefault="006351E8" w:rsidP="006351E8">
            <w:pPr>
              <w:pStyle w:val="a9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Інструкція адміністратора</w:t>
            </w:r>
          </w:p>
          <w:p w14:paraId="506CAE7C" w14:textId="77777777" w:rsidR="006351E8" w:rsidRPr="001A1162" w:rsidRDefault="006351E8" w:rsidP="006351E8">
            <w:pPr>
              <w:pStyle w:val="a9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Інструкція користувача</w:t>
            </w:r>
          </w:p>
        </w:tc>
      </w:tr>
      <w:tr w:rsidR="006351E8" w:rsidRPr="001A1162" w14:paraId="4DA8E70E" w14:textId="77777777" w:rsidTr="00155C2A">
        <w:trPr>
          <w:trHeight w:val="70"/>
        </w:trPr>
        <w:tc>
          <w:tcPr>
            <w:tcW w:w="1129" w:type="dxa"/>
          </w:tcPr>
          <w:p w14:paraId="54568306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15ED5A2B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 xml:space="preserve">Виконавець повинен здійснити інсталяцію та налаштування </w:t>
            </w:r>
            <w:r>
              <w:rPr>
                <w:lang w:val="uk-UA"/>
              </w:rPr>
              <w:t>ПЗ</w:t>
            </w:r>
            <w:r w:rsidRPr="001A1162">
              <w:rPr>
                <w:lang w:val="uk-UA"/>
              </w:rPr>
              <w:t>.</w:t>
            </w:r>
          </w:p>
        </w:tc>
      </w:tr>
      <w:tr w:rsidR="006351E8" w:rsidRPr="001A1162" w14:paraId="769EB246" w14:textId="77777777" w:rsidTr="00155C2A">
        <w:tc>
          <w:tcPr>
            <w:tcW w:w="1129" w:type="dxa"/>
          </w:tcPr>
          <w:p w14:paraId="63B4F035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2F6FFF37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 xml:space="preserve">Виконавець має провести інтеграцію </w:t>
            </w:r>
            <w:r>
              <w:rPr>
                <w:lang w:val="uk-UA"/>
              </w:rPr>
              <w:t>ПЗ</w:t>
            </w:r>
            <w:r w:rsidRPr="001A1162">
              <w:rPr>
                <w:lang w:val="uk-UA"/>
              </w:rPr>
              <w:t xml:space="preserve"> з Active Directory, SIEM та іншими сумісними системами.</w:t>
            </w:r>
          </w:p>
        </w:tc>
      </w:tr>
      <w:tr w:rsidR="006351E8" w:rsidRPr="001A1162" w14:paraId="04553A97" w14:textId="77777777" w:rsidTr="00155C2A">
        <w:trPr>
          <w:trHeight w:val="221"/>
        </w:trPr>
        <w:tc>
          <w:tcPr>
            <w:tcW w:w="1129" w:type="dxa"/>
          </w:tcPr>
          <w:p w14:paraId="412A2AB4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09B51E3A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розробити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та погодити із Замовником </w:t>
            </w:r>
            <w:r w:rsidRPr="001A1162">
              <w:rPr>
                <w:lang w:val="uk-UA"/>
              </w:rPr>
              <w:t xml:space="preserve">політики захисту аутентифікацій. </w:t>
            </w:r>
          </w:p>
        </w:tc>
      </w:tr>
      <w:tr w:rsidR="006351E8" w:rsidRPr="001A1162" w14:paraId="50FA5525" w14:textId="77777777" w:rsidTr="00155C2A">
        <w:tc>
          <w:tcPr>
            <w:tcW w:w="1129" w:type="dxa"/>
          </w:tcPr>
          <w:p w14:paraId="54B56A14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4EB35615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захист щонайменше 150 сервісних акаунтів та 250 привілейованих облікових записів.</w:t>
            </w:r>
          </w:p>
        </w:tc>
      </w:tr>
      <w:tr w:rsidR="006351E8" w:rsidRPr="001A1162" w14:paraId="47312F05" w14:textId="77777777" w:rsidTr="00155C2A">
        <w:tc>
          <w:tcPr>
            <w:tcW w:w="1129" w:type="dxa"/>
          </w:tcPr>
          <w:p w14:paraId="2EA14D66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7D231D8A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можливість впровадження MFA токенів для 25 користувачів.</w:t>
            </w:r>
          </w:p>
        </w:tc>
      </w:tr>
      <w:tr w:rsidR="006351E8" w:rsidRPr="001A1162" w14:paraId="6329B9C5" w14:textId="77777777" w:rsidTr="00155C2A">
        <w:tc>
          <w:tcPr>
            <w:tcW w:w="1129" w:type="dxa"/>
          </w:tcPr>
          <w:p w14:paraId="44E59E45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37F59389" w14:textId="77777777" w:rsidR="006351E8" w:rsidRPr="001A1162" w:rsidRDefault="006351E8" w:rsidP="00155C2A">
            <w:pPr>
              <w:jc w:val="both"/>
            </w:pPr>
            <w:r w:rsidRPr="181ED6C7">
              <w:rPr>
                <w:lang w:val="uk-UA"/>
              </w:rPr>
              <w:t xml:space="preserve">Виконавець має розробити </w:t>
            </w:r>
            <w:r>
              <w:rPr>
                <w:lang w:val="uk-UA"/>
              </w:rPr>
              <w:t xml:space="preserve"> та погодити із Замовником </w:t>
            </w:r>
            <w:r w:rsidRPr="181ED6C7">
              <w:rPr>
                <w:lang w:val="uk-UA"/>
              </w:rPr>
              <w:t>рольову модель доступу.</w:t>
            </w:r>
          </w:p>
        </w:tc>
      </w:tr>
      <w:tr w:rsidR="006351E8" w:rsidRPr="001A1162" w14:paraId="0645FE81" w14:textId="77777777" w:rsidTr="00155C2A">
        <w:tc>
          <w:tcPr>
            <w:tcW w:w="1129" w:type="dxa"/>
          </w:tcPr>
          <w:p w14:paraId="52C8B3F3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78AC5501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механізм оповіщення відповідальних осіб про інциденти автентифікації.</w:t>
            </w:r>
          </w:p>
        </w:tc>
      </w:tr>
      <w:tr w:rsidR="006351E8" w:rsidRPr="001A1162" w14:paraId="017294AF" w14:textId="77777777" w:rsidTr="00155C2A">
        <w:tc>
          <w:tcPr>
            <w:tcW w:w="1129" w:type="dxa"/>
          </w:tcPr>
          <w:p w14:paraId="46414725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51533DB1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повинен виконати модифікацію джерел даних та скриптів для дашбордів SOC.</w:t>
            </w:r>
          </w:p>
        </w:tc>
      </w:tr>
      <w:tr w:rsidR="006351E8" w:rsidRPr="001A1162" w14:paraId="0076BD48" w14:textId="77777777" w:rsidTr="00155C2A">
        <w:tc>
          <w:tcPr>
            <w:tcW w:w="1129" w:type="dxa"/>
          </w:tcPr>
          <w:p w14:paraId="23BEA7D6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6439814D" w14:textId="77777777" w:rsidR="006351E8" w:rsidRPr="00783D68" w:rsidRDefault="006351E8" w:rsidP="00155C2A">
            <w:p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 xml:space="preserve">Виконавець повинен погодити та впровадити як мінімум наступні автоматизовані </w:t>
            </w:r>
            <w:r w:rsidRPr="00783D68">
              <w:rPr>
                <w:lang w:val="en-US"/>
              </w:rPr>
              <w:t>UseCase</w:t>
            </w:r>
            <w:r w:rsidRPr="00783D68">
              <w:rPr>
                <w:lang w:val="uk-UA"/>
              </w:rPr>
              <w:t xml:space="preserve"> на </w:t>
            </w:r>
            <w:r w:rsidRPr="00783D68">
              <w:rPr>
                <w:lang w:val="en-US"/>
              </w:rPr>
              <w:t>IBM</w:t>
            </w:r>
            <w:r w:rsidRPr="00783D68">
              <w:rPr>
                <w:lang w:val="uk-UA"/>
              </w:rPr>
              <w:t xml:space="preserve"> </w:t>
            </w:r>
            <w:r w:rsidRPr="00783D68">
              <w:rPr>
                <w:lang w:val="en-US"/>
              </w:rPr>
              <w:t>QRadar</w:t>
            </w:r>
            <w:r w:rsidRPr="00783D68">
              <w:rPr>
                <w:lang w:val="uk-UA"/>
              </w:rPr>
              <w:t xml:space="preserve"> </w:t>
            </w:r>
            <w:r w:rsidRPr="00783D68">
              <w:rPr>
                <w:lang w:val="en-US"/>
              </w:rPr>
              <w:t>SIEM</w:t>
            </w:r>
            <w:r w:rsidRPr="00783D68">
              <w:rPr>
                <w:lang w:val="uk-UA"/>
              </w:rPr>
              <w:t xml:space="preserve"> для контролів ІБ Системи (5 шт.):</w:t>
            </w:r>
          </w:p>
          <w:p w14:paraId="0D225409" w14:textId="77777777" w:rsidR="006351E8" w:rsidRPr="00783D68" w:rsidRDefault="006351E8" w:rsidP="006351E8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 xml:space="preserve">Контроль використання </w:t>
            </w:r>
            <w:r w:rsidRPr="00783D68">
              <w:rPr>
                <w:lang w:val="en-US"/>
              </w:rPr>
              <w:t xml:space="preserve">MFA – </w:t>
            </w:r>
            <w:r w:rsidRPr="00783D68">
              <w:rPr>
                <w:lang w:val="uk-UA"/>
              </w:rPr>
              <w:t>забезпечення захищеної автентифікації до критичних систем;</w:t>
            </w:r>
          </w:p>
          <w:p w14:paraId="78FE8C06" w14:textId="77777777" w:rsidR="006351E8" w:rsidRPr="00783D68" w:rsidRDefault="006351E8" w:rsidP="006351E8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>Контроль аномальних дій автентифікації облікових записів (</w:t>
            </w:r>
            <w:r w:rsidRPr="00783D68">
              <w:rPr>
                <w:lang w:val="en-US"/>
              </w:rPr>
              <w:t>Insights) –</w:t>
            </w:r>
            <w:r w:rsidRPr="00783D68">
              <w:rPr>
                <w:lang w:val="uk-UA"/>
              </w:rPr>
              <w:t xml:space="preserve"> виявлення підозрілих сценаріїв автентифікації;</w:t>
            </w:r>
          </w:p>
          <w:p w14:paraId="584EA934" w14:textId="77777777" w:rsidR="006351E8" w:rsidRPr="00783D68" w:rsidRDefault="006351E8" w:rsidP="006351E8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>Контроль сервісних облікових записів – виявлення автентифікації сервісних облікових записів не за призначенням;</w:t>
            </w:r>
          </w:p>
          <w:p w14:paraId="5CBE26CD" w14:textId="77777777" w:rsidR="006351E8" w:rsidRPr="00783D68" w:rsidRDefault="006351E8" w:rsidP="006351E8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>Контроль створення/видалення політик Підсистеми – захист від несанкціонованих змін політик;</w:t>
            </w:r>
          </w:p>
          <w:p w14:paraId="05E36A6E" w14:textId="77777777" w:rsidR="006351E8" w:rsidRPr="00783D68" w:rsidRDefault="006351E8" w:rsidP="006351E8">
            <w:pPr>
              <w:pStyle w:val="a9"/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 xml:space="preserve">Контроль загроз з </w:t>
            </w:r>
            <w:r w:rsidRPr="00783D68">
              <w:rPr>
                <w:lang w:val="en-US"/>
              </w:rPr>
              <w:t xml:space="preserve">Identity Threat Detection – </w:t>
            </w:r>
            <w:r w:rsidRPr="00783D68">
              <w:rPr>
                <w:lang w:val="uk-UA"/>
              </w:rPr>
              <w:t xml:space="preserve">виявлення активних загроз засобами </w:t>
            </w:r>
            <w:r w:rsidRPr="00783D68">
              <w:t xml:space="preserve"> </w:t>
            </w:r>
            <w:r w:rsidRPr="00783D68">
              <w:rPr>
                <w:lang w:val="uk-UA"/>
              </w:rPr>
              <w:t>Identity Threat Detection.</w:t>
            </w:r>
          </w:p>
        </w:tc>
      </w:tr>
      <w:tr w:rsidR="006351E8" w:rsidRPr="001A1162" w14:paraId="1B87BE4B" w14:textId="77777777" w:rsidTr="00155C2A">
        <w:tc>
          <w:tcPr>
            <w:tcW w:w="1129" w:type="dxa"/>
          </w:tcPr>
          <w:p w14:paraId="664812ED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760AE889" w14:textId="77777777" w:rsidR="006351E8" w:rsidRPr="00783D68" w:rsidRDefault="006351E8" w:rsidP="00155C2A">
            <w:pPr>
              <w:jc w:val="both"/>
              <w:rPr>
                <w:lang w:val="uk-UA"/>
              </w:rPr>
            </w:pPr>
            <w:r w:rsidRPr="00783D68">
              <w:rPr>
                <w:lang w:val="uk-UA"/>
              </w:rPr>
              <w:t>Виконавець має</w:t>
            </w:r>
            <w:r w:rsidRPr="00783D68">
              <w:rPr>
                <w:lang w:val="en-US"/>
              </w:rPr>
              <w:t xml:space="preserve"> </w:t>
            </w:r>
            <w:r w:rsidRPr="00783D68">
              <w:rPr>
                <w:lang w:val="uk-UA"/>
              </w:rPr>
              <w:t xml:space="preserve">запропонувати та погодити із Замовником звіти у вигляді дашбордів реалізованих на </w:t>
            </w:r>
            <w:r w:rsidRPr="00783D68">
              <w:rPr>
                <w:lang w:val="en-US"/>
              </w:rPr>
              <w:t>Microsoft</w:t>
            </w:r>
            <w:r w:rsidRPr="00783D68">
              <w:rPr>
                <w:lang w:val="uk-UA"/>
              </w:rPr>
              <w:t xml:space="preserve"> </w:t>
            </w:r>
            <w:r w:rsidRPr="00783D68">
              <w:rPr>
                <w:lang w:val="en-US"/>
              </w:rPr>
              <w:t>PowerBI</w:t>
            </w:r>
            <w:r w:rsidRPr="00783D68">
              <w:rPr>
                <w:lang w:val="uk-UA"/>
              </w:rPr>
              <w:t>.</w:t>
            </w:r>
          </w:p>
        </w:tc>
      </w:tr>
      <w:tr w:rsidR="006351E8" w:rsidRPr="001A1162" w14:paraId="16E1EE0E" w14:textId="77777777" w:rsidTr="00155C2A">
        <w:tc>
          <w:tcPr>
            <w:tcW w:w="10060" w:type="dxa"/>
            <w:gridSpan w:val="2"/>
          </w:tcPr>
          <w:p w14:paraId="419BF3BA" w14:textId="77777777" w:rsidR="006351E8" w:rsidRPr="001A1162" w:rsidRDefault="006351E8" w:rsidP="00155C2A">
            <w:pPr>
              <w:ind w:left="589"/>
              <w:jc w:val="center"/>
              <w:rPr>
                <w:b/>
                <w:bCs/>
              </w:rPr>
            </w:pPr>
            <w:r w:rsidRPr="001A1162">
              <w:rPr>
                <w:b/>
                <w:bCs/>
              </w:rPr>
              <w:t>6.</w:t>
            </w:r>
            <w:r w:rsidRPr="001A1162">
              <w:rPr>
                <w:b/>
                <w:bCs/>
                <w:lang w:val="uk-UA"/>
              </w:rPr>
              <w:t>3</w:t>
            </w:r>
            <w:r w:rsidRPr="001A1162">
              <w:rPr>
                <w:b/>
                <w:bCs/>
              </w:rPr>
              <w:t xml:space="preserve">. </w:t>
            </w:r>
            <w:r w:rsidRPr="001A1162">
              <w:t xml:space="preserve"> </w:t>
            </w:r>
            <w:r w:rsidRPr="001A1162">
              <w:rPr>
                <w:b/>
                <w:bCs/>
                <w:lang w:val="uk-UA"/>
              </w:rPr>
              <w:t xml:space="preserve">Вимоги до процесу та обсягу послуг з розширеної технічної підтримки Підсистеми </w:t>
            </w:r>
            <w:r w:rsidRPr="001A1162">
              <w:t xml:space="preserve"> </w:t>
            </w:r>
            <w:r w:rsidRPr="001A1162">
              <w:rPr>
                <w:b/>
                <w:bCs/>
                <w:lang w:val="uk-UA"/>
              </w:rPr>
              <w:t>керування ідентифікаційними даними та доступом:</w:t>
            </w:r>
          </w:p>
        </w:tc>
      </w:tr>
      <w:tr w:rsidR="006351E8" w:rsidRPr="001A1162" w14:paraId="3FF299F3" w14:textId="77777777" w:rsidTr="00155C2A">
        <w:tc>
          <w:tcPr>
            <w:tcW w:w="1129" w:type="dxa"/>
          </w:tcPr>
          <w:p w14:paraId="74764D80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79880D19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 вирішення технічних інцидентів у роботі Підсистеми:</w:t>
            </w:r>
          </w:p>
          <w:p w14:paraId="736B83F8" w14:textId="77777777" w:rsidR="006351E8" w:rsidRPr="001A1162" w:rsidRDefault="006351E8" w:rsidP="006351E8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виявлення та інформування Замовника щодо відхилень у роботі Підсистеми;</w:t>
            </w:r>
          </w:p>
          <w:p w14:paraId="7EB2C617" w14:textId="77777777" w:rsidR="006351E8" w:rsidRPr="001A1162" w:rsidRDefault="006351E8" w:rsidP="006351E8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діагностика відхилень у роботі Підсистеми;</w:t>
            </w:r>
          </w:p>
          <w:p w14:paraId="2B664A15" w14:textId="77777777" w:rsidR="006351E8" w:rsidRPr="001A1162" w:rsidRDefault="006351E8" w:rsidP="006351E8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збір інформації про причини інциденту та її аналіз;</w:t>
            </w:r>
          </w:p>
          <w:p w14:paraId="0E34C67F" w14:textId="77777777" w:rsidR="006351E8" w:rsidRPr="001A1162" w:rsidRDefault="006351E8" w:rsidP="006351E8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внесення змін для вирішення технічних інцидентів;</w:t>
            </w:r>
          </w:p>
          <w:p w14:paraId="19AFB8D3" w14:textId="77777777" w:rsidR="006351E8" w:rsidRPr="001A1162" w:rsidRDefault="006351E8" w:rsidP="006351E8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опрацювання технічних інцидентів, в т.ч. за запитом Замовника;</w:t>
            </w:r>
          </w:p>
          <w:p w14:paraId="05524375" w14:textId="77777777" w:rsidR="006351E8" w:rsidRPr="001A1162" w:rsidRDefault="006351E8" w:rsidP="006351E8">
            <w:pPr>
              <w:pStyle w:val="a9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надання Замовнику інформації щодо причин виникнення та шляхів вирішення технічного інциденту.</w:t>
            </w:r>
          </w:p>
        </w:tc>
      </w:tr>
      <w:tr w:rsidR="006351E8" w:rsidRPr="001A1162" w14:paraId="696382D8" w14:textId="77777777" w:rsidTr="00155C2A">
        <w:tc>
          <w:tcPr>
            <w:tcW w:w="1129" w:type="dxa"/>
          </w:tcPr>
          <w:p w14:paraId="5908CCD4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41A6BAC8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адміністрування Підсистеми:</w:t>
            </w:r>
          </w:p>
          <w:p w14:paraId="3458555C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оновлення компонентів Підсистеми;</w:t>
            </w:r>
          </w:p>
          <w:p w14:paraId="3BCF87EF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надання рекомендацій при налаштуванні інтеграцій з допомогою існуючих конекторів;</w:t>
            </w:r>
          </w:p>
          <w:p w14:paraId="239EA9AD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налаштування базової конфігурації Підсистеми</w:t>
            </w:r>
            <w:r>
              <w:rPr>
                <w:lang w:val="uk-UA"/>
              </w:rPr>
              <w:t xml:space="preserve"> та політик захисту</w:t>
            </w:r>
            <w:r w:rsidRPr="001A1162">
              <w:rPr>
                <w:lang w:val="uk-UA"/>
              </w:rPr>
              <w:t>;</w:t>
            </w:r>
          </w:p>
          <w:p w14:paraId="18E02120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надання консультацій та рекомендацій Замовнику щодо зміни апаратних характеристик компонентів Підсистеми.</w:t>
            </w:r>
          </w:p>
        </w:tc>
      </w:tr>
      <w:tr w:rsidR="006351E8" w:rsidRPr="001A1162" w14:paraId="422CD4B0" w14:textId="77777777" w:rsidTr="00155C2A">
        <w:tc>
          <w:tcPr>
            <w:tcW w:w="1129" w:type="dxa"/>
          </w:tcPr>
          <w:p w14:paraId="299F777B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65B76972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супровід запитів до вендора/розробника:</w:t>
            </w:r>
          </w:p>
          <w:p w14:paraId="48552A5B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 xml:space="preserve">реєстрація/закриття запитів; </w:t>
            </w:r>
          </w:p>
          <w:p w14:paraId="0646CD23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виконання рекомендацій згідно відповіді підтримки вендора;</w:t>
            </w:r>
          </w:p>
          <w:p w14:paraId="653876A7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lastRenderedPageBreak/>
              <w:t>надання даних для діагностики підтримці вендора.</w:t>
            </w:r>
          </w:p>
        </w:tc>
      </w:tr>
      <w:tr w:rsidR="006351E8" w:rsidRPr="001A1162" w14:paraId="31493EAA" w14:textId="77777777" w:rsidTr="00155C2A">
        <w:tc>
          <w:tcPr>
            <w:tcW w:w="1129" w:type="dxa"/>
          </w:tcPr>
          <w:p w14:paraId="4CE82C9E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02048A96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виконання регламентних робіт щодо оновлення компонентів Підсистеми:</w:t>
            </w:r>
          </w:p>
          <w:p w14:paraId="03454029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підтримка актуальності версії ПЗ (які не передбачають змін архітектури/міграції);</w:t>
            </w:r>
          </w:p>
          <w:p w14:paraId="12BB2A0F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підтримка актуальності версії додатків.</w:t>
            </w:r>
          </w:p>
        </w:tc>
      </w:tr>
      <w:tr w:rsidR="006351E8" w:rsidRPr="001A1162" w14:paraId="3DD139CD" w14:textId="77777777" w:rsidTr="00155C2A">
        <w:tc>
          <w:tcPr>
            <w:tcW w:w="1129" w:type="dxa"/>
          </w:tcPr>
          <w:p w14:paraId="61F5BAF8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2B12A119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актуалізацію документації:</w:t>
            </w:r>
          </w:p>
          <w:p w14:paraId="04BB103B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Опис поточної конфігурації Підсистеми;</w:t>
            </w:r>
          </w:p>
          <w:p w14:paraId="176A5A3D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Актуалізація документації після внесення змін;</w:t>
            </w:r>
          </w:p>
          <w:p w14:paraId="66148F7A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Формування супроводжуючої документації за запитом Замовника.</w:t>
            </w:r>
          </w:p>
        </w:tc>
      </w:tr>
      <w:tr w:rsidR="006351E8" w:rsidRPr="001A1162" w14:paraId="333D98D5" w14:textId="77777777" w:rsidTr="00155C2A">
        <w:tc>
          <w:tcPr>
            <w:tcW w:w="1129" w:type="dxa"/>
          </w:tcPr>
          <w:p w14:paraId="1EA33854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76B4B399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 xml:space="preserve">Виконавець має забезпечити </w:t>
            </w:r>
            <w:r w:rsidRPr="001A1162">
              <w:t xml:space="preserve"> </w:t>
            </w:r>
            <w:r w:rsidRPr="001A1162">
              <w:rPr>
                <w:lang w:val="uk-UA"/>
              </w:rPr>
              <w:t>аналітичне супроводження Підсистеми:</w:t>
            </w:r>
          </w:p>
          <w:p w14:paraId="0D5AE08F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підтримка переліку критичних облікових записів (далі – «ОЗ») для покриття МFA:</w:t>
            </w:r>
          </w:p>
          <w:p w14:paraId="726577AE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спільне з Замовником визначення критеріїв критичності ОЗ;</w:t>
            </w:r>
          </w:p>
          <w:p w14:paraId="39AD5515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фіксація критеріїв на технічному рівні в технологічній платформі SOC;</w:t>
            </w:r>
          </w:p>
          <w:p w14:paraId="49A5DEAB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постійне визначення переліку критичних ОЗ;</w:t>
            </w:r>
          </w:p>
          <w:p w14:paraId="7B5C305E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підтримка переліку ОЗ, що покриваються МFA, з урахуванням рівня критичності.</w:t>
            </w:r>
          </w:p>
          <w:p w14:paraId="1AB875B8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підтримка переліку високопріоритетних технологічних записів, що потребують моніторингу</w:t>
            </w:r>
          </w:p>
          <w:p w14:paraId="3188D927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спільне з Замовником визначення переліку критеріїв ризику, що впливають на технічні ОЗ;</w:t>
            </w:r>
          </w:p>
          <w:p w14:paraId="69FF87AE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фіксація критеріїв на технічному рівні в технологічній платформі SOC;</w:t>
            </w:r>
          </w:p>
          <w:p w14:paraId="0B05083D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постійне визначення переліку технічних ОЗ, що потребують моніторингу;</w:t>
            </w:r>
          </w:p>
          <w:p w14:paraId="5B19C075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підтримку переліку ОЗ, що покриваються моніторингом, з урахуванням рівня ризику.</w:t>
            </w:r>
          </w:p>
          <w:p w14:paraId="05F94078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реагування на спрацювання Use Case;</w:t>
            </w:r>
          </w:p>
          <w:p w14:paraId="462AE7A7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підтримка ескалації спрацювань контролів Підсистеми;</w:t>
            </w:r>
          </w:p>
          <w:p w14:paraId="7705C403" w14:textId="77777777" w:rsidR="006351E8" w:rsidRPr="001A1162" w:rsidRDefault="006351E8" w:rsidP="006351E8">
            <w:pPr>
              <w:pStyle w:val="a9"/>
              <w:numPr>
                <w:ilvl w:val="0"/>
                <w:numId w:val="10"/>
              </w:numPr>
              <w:tabs>
                <w:tab w:val="left" w:pos="883"/>
              </w:tabs>
              <w:ind w:left="599" w:firstLine="21"/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аналітика спрацювань Підсистеми.</w:t>
            </w:r>
          </w:p>
        </w:tc>
      </w:tr>
      <w:tr w:rsidR="006351E8" w:rsidRPr="001A1162" w14:paraId="38E3F693" w14:textId="77777777" w:rsidTr="00155C2A">
        <w:tc>
          <w:tcPr>
            <w:tcW w:w="1129" w:type="dxa"/>
          </w:tcPr>
          <w:p w14:paraId="5D1CF307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3AA4309B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Виконавець має забезпечити надання звітності:</w:t>
            </w:r>
          </w:p>
          <w:p w14:paraId="47E974B6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формування звітності щодо наданих послуг</w:t>
            </w:r>
            <w:r>
              <w:rPr>
                <w:lang w:val="uk-UA"/>
              </w:rPr>
              <w:t>(може бути онлайн дашборд);</w:t>
            </w:r>
          </w:p>
          <w:p w14:paraId="622F521E" w14:textId="77777777" w:rsidR="006351E8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формування звітності щодо стану Підсистеми</w:t>
            </w:r>
            <w:r>
              <w:rPr>
                <w:lang w:val="uk-UA"/>
              </w:rPr>
              <w:t xml:space="preserve"> (може бути онлайн дашборд);</w:t>
            </w:r>
          </w:p>
          <w:p w14:paraId="4C6E273C" w14:textId="77777777" w:rsidR="006351E8" w:rsidRPr="001A1162" w:rsidRDefault="006351E8" w:rsidP="006351E8">
            <w:pPr>
              <w:pStyle w:val="a9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у щоденних доповідях по інцидентах за участю </w:t>
            </w:r>
            <w:r>
              <w:rPr>
                <w:lang w:val="en-US"/>
              </w:rPr>
              <w:t xml:space="preserve">SOC </w:t>
            </w:r>
            <w:r>
              <w:rPr>
                <w:lang w:val="uk-UA"/>
              </w:rPr>
              <w:t>команди.</w:t>
            </w:r>
          </w:p>
        </w:tc>
      </w:tr>
      <w:tr w:rsidR="006351E8" w:rsidRPr="001A1162" w14:paraId="520B3023" w14:textId="77777777" w:rsidTr="00155C2A">
        <w:tc>
          <w:tcPr>
            <w:tcW w:w="1129" w:type="dxa"/>
          </w:tcPr>
          <w:p w14:paraId="1C772DB6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23215D76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 xml:space="preserve">Строк надання послуг з розширеної технічної підтримки Підсистеми – 1 (один) рік, </w:t>
            </w:r>
            <w:r w:rsidRPr="001A1162">
              <w:t xml:space="preserve"> </w:t>
            </w:r>
            <w:r w:rsidRPr="001A1162">
              <w:rPr>
                <w:lang w:val="uk-UA"/>
              </w:rPr>
              <w:t>починаючи з моменту завершення впровадження Підсистеми.</w:t>
            </w:r>
          </w:p>
        </w:tc>
      </w:tr>
      <w:tr w:rsidR="006351E8" w:rsidRPr="001A1162" w14:paraId="447799B3" w14:textId="77777777" w:rsidTr="00155C2A">
        <w:tc>
          <w:tcPr>
            <w:tcW w:w="1129" w:type="dxa"/>
          </w:tcPr>
          <w:p w14:paraId="1242985E" w14:textId="77777777" w:rsidR="006351E8" w:rsidRPr="001A1162" w:rsidRDefault="006351E8" w:rsidP="00155C2A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lang w:val="uk-UA"/>
              </w:rPr>
            </w:pPr>
          </w:p>
        </w:tc>
        <w:tc>
          <w:tcPr>
            <w:tcW w:w="8931" w:type="dxa"/>
          </w:tcPr>
          <w:p w14:paraId="1FDC05F9" w14:textId="77777777" w:rsidR="006351E8" w:rsidRPr="001A1162" w:rsidRDefault="006351E8" w:rsidP="00155C2A">
            <w:p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 xml:space="preserve">Виконавець має забезпечити наступний рівень </w:t>
            </w:r>
            <w:r w:rsidRPr="001A1162">
              <w:rPr>
                <w:lang w:val="en-US"/>
              </w:rPr>
              <w:t>SLA</w:t>
            </w:r>
            <w:r>
              <w:rPr>
                <w:lang w:val="uk-UA"/>
              </w:rPr>
              <w:t xml:space="preserve"> (в робочі дні з 9-00 до 18-00)</w:t>
            </w:r>
            <w:r w:rsidRPr="001A1162">
              <w:rPr>
                <w:lang w:val="en-US"/>
              </w:rPr>
              <w:t xml:space="preserve"> </w:t>
            </w:r>
            <w:r w:rsidRPr="001A1162">
              <w:rPr>
                <w:lang w:val="uk-UA"/>
              </w:rPr>
              <w:t>реагування на звернення Замовника:</w:t>
            </w:r>
          </w:p>
          <w:p w14:paraId="56DDE14B" w14:textId="77777777" w:rsidR="006351E8" w:rsidRPr="001A1162" w:rsidRDefault="006351E8" w:rsidP="006351E8">
            <w:pPr>
              <w:pStyle w:val="a9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Критичний рівень – 1 година;</w:t>
            </w:r>
            <w:r>
              <w:rPr>
                <w:lang w:val="uk-UA"/>
              </w:rPr>
              <w:t xml:space="preserve"> (в робочі дні з 08-00 до 19-00)</w:t>
            </w:r>
          </w:p>
          <w:p w14:paraId="1918F129" w14:textId="77777777" w:rsidR="006351E8" w:rsidRPr="001A1162" w:rsidRDefault="006351E8" w:rsidP="006351E8">
            <w:pPr>
              <w:pStyle w:val="a9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Високий рівень – 2 години;</w:t>
            </w:r>
          </w:p>
          <w:p w14:paraId="6CE86F7C" w14:textId="77777777" w:rsidR="006351E8" w:rsidRPr="001A1162" w:rsidRDefault="006351E8" w:rsidP="006351E8">
            <w:pPr>
              <w:pStyle w:val="a9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Середній рівень – 4 години;</w:t>
            </w:r>
          </w:p>
          <w:p w14:paraId="2C09CDBA" w14:textId="77777777" w:rsidR="006351E8" w:rsidRPr="001A1162" w:rsidRDefault="006351E8" w:rsidP="006351E8">
            <w:pPr>
              <w:pStyle w:val="a9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Низький рівень – 8 годин;</w:t>
            </w:r>
          </w:p>
          <w:p w14:paraId="0F261EC8" w14:textId="77777777" w:rsidR="006351E8" w:rsidRPr="001A1162" w:rsidRDefault="006351E8" w:rsidP="006351E8">
            <w:pPr>
              <w:pStyle w:val="a9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1A1162">
              <w:rPr>
                <w:lang w:val="uk-UA"/>
              </w:rPr>
              <w:t>Надання консультацій Замовнику – 8 годин.</w:t>
            </w:r>
          </w:p>
        </w:tc>
      </w:tr>
    </w:tbl>
    <w:p w14:paraId="3B5046F6" w14:textId="77777777" w:rsidR="006351E8" w:rsidRPr="001A1162" w:rsidRDefault="006351E8" w:rsidP="006351E8">
      <w:pPr>
        <w:jc w:val="both"/>
        <w:rPr>
          <w:b/>
          <w:lang w:val="uk-UA"/>
        </w:rPr>
      </w:pPr>
    </w:p>
    <w:p w14:paraId="11BF2A87" w14:textId="77777777" w:rsidR="006351E8" w:rsidRPr="001A1162" w:rsidRDefault="006351E8" w:rsidP="006351E8">
      <w:pPr>
        <w:ind w:firstLine="567"/>
        <w:jc w:val="both"/>
        <w:rPr>
          <w:b/>
          <w:lang w:val="uk-UA"/>
        </w:rPr>
      </w:pPr>
      <w:r w:rsidRPr="001A1162">
        <w:rPr>
          <w:b/>
          <w:lang w:val="uk-UA"/>
        </w:rPr>
        <w:t>Умови та терміни подачі комерційних пропозицій.</w:t>
      </w:r>
    </w:p>
    <w:p w14:paraId="6DCF4ABE" w14:textId="77777777" w:rsidR="006351E8" w:rsidRPr="001A1162" w:rsidRDefault="006351E8" w:rsidP="006351E8">
      <w:pPr>
        <w:rPr>
          <w:b/>
          <w:lang w:val="uk-UA"/>
        </w:rPr>
      </w:pPr>
    </w:p>
    <w:p w14:paraId="447342B9" w14:textId="77777777" w:rsidR="006351E8" w:rsidRPr="001A1162" w:rsidRDefault="006351E8" w:rsidP="006351E8">
      <w:pPr>
        <w:ind w:firstLine="567"/>
        <w:jc w:val="both"/>
        <w:rPr>
          <w:lang w:val="uk-UA"/>
        </w:rPr>
      </w:pPr>
      <w:r w:rsidRPr="001A1162">
        <w:rPr>
          <w:lang w:val="uk-UA"/>
        </w:rPr>
        <w:t xml:space="preserve">Для участі в тендері потрібно підготувати комерційну пропозицію відповідно до Додатку №1 та надати пакет необхідних документів (згідно вимог ТЗ) та занести дані у відповідні розділи тендерної платформи </w:t>
      </w:r>
      <w:hyperlink r:id="rId6" w:history="1">
        <w:r w:rsidRPr="001A1162">
          <w:rPr>
            <w:rStyle w:val="af1"/>
            <w:rFonts w:eastAsiaTheme="majorEastAsia"/>
            <w:lang w:val="uk-UA"/>
          </w:rPr>
          <w:t>https://tp</w:t>
        </w:r>
        <w:r w:rsidRPr="001A1162">
          <w:rPr>
            <w:rStyle w:val="af1"/>
            <w:rFonts w:eastAsiaTheme="majorEastAsia"/>
            <w:lang w:val="en-US"/>
          </w:rPr>
          <w:t>ext</w:t>
        </w:r>
        <w:r w:rsidRPr="001A1162">
          <w:rPr>
            <w:rStyle w:val="af1"/>
            <w:rFonts w:eastAsiaTheme="majorEastAsia"/>
            <w:lang w:val="uk-UA"/>
          </w:rPr>
          <w:t>.gng.com.ua</w:t>
        </w:r>
      </w:hyperlink>
      <w:r w:rsidRPr="001A1162">
        <w:rPr>
          <w:rStyle w:val="af1"/>
          <w:rFonts w:eastAsiaTheme="majorEastAsia"/>
          <w:lang w:val="uk-UA"/>
        </w:rPr>
        <w:t xml:space="preserve"> </w:t>
      </w:r>
      <w:r w:rsidRPr="001A1162">
        <w:rPr>
          <w:lang w:val="uk-UA"/>
        </w:rPr>
        <w:t>. Мова надання пропозицій: українська.</w:t>
      </w:r>
    </w:p>
    <w:p w14:paraId="14D39C09" w14:textId="77777777" w:rsidR="006351E8" w:rsidRPr="001A1162" w:rsidRDefault="006351E8" w:rsidP="006351E8">
      <w:pPr>
        <w:suppressAutoHyphens/>
        <w:jc w:val="right"/>
        <w:rPr>
          <w:b/>
          <w:lang w:val="uk-UA"/>
        </w:rPr>
      </w:pPr>
      <w:r w:rsidRPr="001A1162">
        <w:rPr>
          <w:lang w:val="uk-UA"/>
        </w:rPr>
        <w:br w:type="column"/>
      </w:r>
      <w:r w:rsidRPr="001A1162">
        <w:rPr>
          <w:b/>
          <w:lang w:val="uk-UA"/>
        </w:rPr>
        <w:lastRenderedPageBreak/>
        <w:t>ДОДАТОК №1</w:t>
      </w:r>
    </w:p>
    <w:p w14:paraId="1515BD2B" w14:textId="77777777" w:rsidR="006351E8" w:rsidRPr="001A1162" w:rsidRDefault="006351E8" w:rsidP="006351E8">
      <w:pPr>
        <w:suppressAutoHyphens/>
        <w:jc w:val="center"/>
        <w:rPr>
          <w:b/>
          <w:shd w:val="clear" w:color="auto" w:fill="FFFFFF"/>
          <w:lang w:val="uk-UA" w:eastAsia="ar-SA"/>
        </w:rPr>
      </w:pPr>
      <w:r w:rsidRPr="001A1162">
        <w:rPr>
          <w:b/>
          <w:shd w:val="clear" w:color="auto" w:fill="FFFFFF"/>
          <w:lang w:val="uk-UA" w:eastAsia="ar-SA"/>
        </w:rPr>
        <w:t>Комерційна пропозиція для АТ «Концерн Галнафтогаз».</w:t>
      </w:r>
    </w:p>
    <w:p w14:paraId="7E06E16D" w14:textId="77777777" w:rsidR="006351E8" w:rsidRPr="001A1162" w:rsidRDefault="006351E8" w:rsidP="006351E8">
      <w:pPr>
        <w:suppressAutoHyphens/>
        <w:ind w:left="6521" w:hanging="6521"/>
        <w:jc w:val="center"/>
        <w:rPr>
          <w:b/>
          <w:shd w:val="clear" w:color="auto" w:fill="FFFFFF"/>
          <w:lang w:val="uk-UA" w:eastAsia="ar-SA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977"/>
      </w:tblGrid>
      <w:tr w:rsidR="006351E8" w:rsidRPr="001A1162" w14:paraId="7AD69E66" w14:textId="77777777" w:rsidTr="00155C2A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0563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Назва постачальника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8B4B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*</w:t>
            </w:r>
          </w:p>
        </w:tc>
      </w:tr>
      <w:tr w:rsidR="006351E8" w:rsidRPr="001A1162" w14:paraId="0BDB0069" w14:textId="77777777" w:rsidTr="00155C2A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AD50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Адреса постачальника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8C15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*</w:t>
            </w:r>
          </w:p>
        </w:tc>
      </w:tr>
      <w:tr w:rsidR="006351E8" w:rsidRPr="001A1162" w14:paraId="6AC7B90E" w14:textId="77777777" w:rsidTr="00155C2A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7C81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Телефони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231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*</w:t>
            </w:r>
          </w:p>
        </w:tc>
      </w:tr>
      <w:tr w:rsidR="006351E8" w:rsidRPr="001A1162" w14:paraId="59706342" w14:textId="77777777" w:rsidTr="00155C2A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4454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FE7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*</w:t>
            </w:r>
          </w:p>
        </w:tc>
      </w:tr>
      <w:tr w:rsidR="006351E8" w:rsidRPr="001A1162" w14:paraId="18B3877A" w14:textId="77777777" w:rsidTr="00155C2A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BC02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ПІБ особи, відповідальної за комерційну пропозицію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B2E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*</w:t>
            </w:r>
          </w:p>
        </w:tc>
      </w:tr>
      <w:tr w:rsidR="006351E8" w:rsidRPr="001A1162" w14:paraId="5B9FED83" w14:textId="77777777" w:rsidTr="00155C2A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1F26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Контактна інформація особи, відповідальної за комерційну пропозицію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C7C0" w14:textId="77777777" w:rsidR="006351E8" w:rsidRPr="001A1162" w:rsidRDefault="006351E8" w:rsidP="00155C2A">
            <w:pPr>
              <w:suppressAutoHyphens/>
              <w:spacing w:line="276" w:lineRule="auto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*</w:t>
            </w:r>
          </w:p>
        </w:tc>
      </w:tr>
    </w:tbl>
    <w:p w14:paraId="21678F7C" w14:textId="77777777" w:rsidR="006351E8" w:rsidRPr="001A1162" w:rsidRDefault="006351E8" w:rsidP="006351E8">
      <w:pPr>
        <w:suppressAutoHyphens/>
        <w:rPr>
          <w:shd w:val="clear" w:color="auto" w:fill="FFFFFF"/>
          <w:lang w:val="uk-UA" w:eastAsia="ar-SA"/>
        </w:rPr>
      </w:pPr>
      <w:r w:rsidRPr="001A1162">
        <w:rPr>
          <w:shd w:val="clear" w:color="auto" w:fill="FFFFFF"/>
          <w:lang w:val="uk-UA" w:eastAsia="ar-SA"/>
        </w:rPr>
        <w:t>* поле обов’язкове до заповнення</w:t>
      </w:r>
    </w:p>
    <w:p w14:paraId="1CF85A2C" w14:textId="77777777" w:rsidR="006351E8" w:rsidRPr="001A1162" w:rsidRDefault="006351E8" w:rsidP="006351E8">
      <w:pPr>
        <w:suppressAutoHyphens/>
        <w:rPr>
          <w:shd w:val="clear" w:color="auto" w:fill="FFFFFF"/>
          <w:lang w:val="uk-UA" w:eastAsia="ar-SA"/>
        </w:rPr>
      </w:pPr>
    </w:p>
    <w:p w14:paraId="7EA80074" w14:textId="77777777" w:rsidR="006351E8" w:rsidRPr="001A1162" w:rsidRDefault="006351E8" w:rsidP="006351E8">
      <w:pPr>
        <w:numPr>
          <w:ilvl w:val="0"/>
          <w:numId w:val="3"/>
        </w:numPr>
        <w:suppressAutoHyphens/>
        <w:ind w:firstLine="180"/>
        <w:rPr>
          <w:b/>
          <w:shd w:val="clear" w:color="auto" w:fill="FFFFFF"/>
          <w:lang w:val="uk-UA" w:eastAsia="ar-SA"/>
        </w:rPr>
      </w:pPr>
      <w:r w:rsidRPr="001A1162">
        <w:rPr>
          <w:b/>
          <w:shd w:val="clear" w:color="auto" w:fill="FFFFFF"/>
          <w:lang w:val="uk-UA" w:eastAsia="ar-SA"/>
        </w:rPr>
        <w:t xml:space="preserve">Специфікація </w:t>
      </w:r>
    </w:p>
    <w:p w14:paraId="0E26645F" w14:textId="77777777" w:rsidR="006351E8" w:rsidRPr="001A1162" w:rsidRDefault="006351E8" w:rsidP="006351E8">
      <w:pPr>
        <w:suppressAutoHyphens/>
        <w:rPr>
          <w:b/>
          <w:shd w:val="clear" w:color="auto" w:fill="FFFFFF"/>
          <w:lang w:val="uk-UA" w:eastAsia="ar-SA"/>
        </w:rPr>
      </w:pPr>
    </w:p>
    <w:p w14:paraId="71E5384C" w14:textId="77777777" w:rsidR="006351E8" w:rsidRPr="001A1162" w:rsidRDefault="006351E8" w:rsidP="006351E8">
      <w:pPr>
        <w:suppressAutoHyphens/>
        <w:rPr>
          <w:shd w:val="clear" w:color="auto" w:fill="FFFFFF"/>
          <w:lang w:val="uk-UA" w:eastAsia="ar-SA"/>
        </w:rPr>
      </w:pPr>
      <w:r w:rsidRPr="001A1162">
        <w:rPr>
          <w:shd w:val="clear" w:color="auto" w:fill="FFFFFF"/>
          <w:lang w:val="uk-UA" w:eastAsia="ar-SA"/>
        </w:rPr>
        <w:t>1.1. Програмне забезпечення для Підсистеми  керування ідентифікаційними даними та доступом:</w:t>
      </w:r>
    </w:p>
    <w:p w14:paraId="01ADA6C3" w14:textId="77777777" w:rsidR="006351E8" w:rsidRPr="001A1162" w:rsidRDefault="006351E8" w:rsidP="006351E8">
      <w:pPr>
        <w:suppressAutoHyphens/>
        <w:ind w:left="-180"/>
        <w:rPr>
          <w:b/>
          <w:shd w:val="clear" w:color="auto" w:fill="FFFFFF"/>
          <w:lang w:val="uk-UA" w:eastAsia="ar-SA"/>
        </w:rPr>
      </w:pPr>
    </w:p>
    <w:tbl>
      <w:tblPr>
        <w:tblW w:w="0" w:type="auto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3969"/>
        <w:gridCol w:w="1701"/>
        <w:gridCol w:w="1985"/>
        <w:gridCol w:w="1701"/>
      </w:tblGrid>
      <w:tr w:rsidR="006351E8" w:rsidRPr="001A1162" w14:paraId="5D9D9409" w14:textId="77777777" w:rsidTr="00155C2A">
        <w:trPr>
          <w:trHeight w:val="465"/>
        </w:trPr>
        <w:tc>
          <w:tcPr>
            <w:tcW w:w="807" w:type="dxa"/>
          </w:tcPr>
          <w:p w14:paraId="7DE330B9" w14:textId="77777777" w:rsidR="006351E8" w:rsidRPr="001A1162" w:rsidRDefault="006351E8" w:rsidP="00155C2A">
            <w:pPr>
              <w:suppressAutoHyphens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 xml:space="preserve">з/п </w:t>
            </w:r>
          </w:p>
        </w:tc>
        <w:tc>
          <w:tcPr>
            <w:tcW w:w="3969" w:type="dxa"/>
          </w:tcPr>
          <w:p w14:paraId="0FD117A8" w14:textId="77777777" w:rsidR="006351E8" w:rsidRPr="001A1162" w:rsidRDefault="006351E8" w:rsidP="00155C2A">
            <w:pPr>
              <w:suppressAutoHyphens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 xml:space="preserve">Найменування </w:t>
            </w:r>
          </w:p>
        </w:tc>
        <w:tc>
          <w:tcPr>
            <w:tcW w:w="1701" w:type="dxa"/>
          </w:tcPr>
          <w:p w14:paraId="6385488B" w14:textId="77777777" w:rsidR="006351E8" w:rsidRPr="001A1162" w:rsidRDefault="006351E8" w:rsidP="00155C2A">
            <w:pPr>
              <w:suppressAutoHyphens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 xml:space="preserve">К-сть </w:t>
            </w:r>
          </w:p>
        </w:tc>
        <w:tc>
          <w:tcPr>
            <w:tcW w:w="1985" w:type="dxa"/>
          </w:tcPr>
          <w:p w14:paraId="0B3CE566" w14:textId="77777777" w:rsidR="006351E8" w:rsidRPr="001A1162" w:rsidRDefault="006351E8" w:rsidP="00155C2A">
            <w:pPr>
              <w:suppressAutoHyphens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 xml:space="preserve">Ціна за одиницю, грн, з ПДВ* </w:t>
            </w:r>
          </w:p>
        </w:tc>
        <w:tc>
          <w:tcPr>
            <w:tcW w:w="1701" w:type="dxa"/>
          </w:tcPr>
          <w:p w14:paraId="3A3938EC" w14:textId="77777777" w:rsidR="006351E8" w:rsidRPr="001A1162" w:rsidRDefault="006351E8" w:rsidP="00155C2A">
            <w:pPr>
              <w:suppressAutoHyphens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 xml:space="preserve">Вартість, грн, </w:t>
            </w:r>
          </w:p>
          <w:p w14:paraId="4049786C" w14:textId="77777777" w:rsidR="006351E8" w:rsidRPr="001A1162" w:rsidRDefault="006351E8" w:rsidP="00155C2A">
            <w:pPr>
              <w:suppressAutoHyphens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>з ПДВ</w:t>
            </w:r>
          </w:p>
        </w:tc>
      </w:tr>
      <w:tr w:rsidR="006351E8" w:rsidRPr="001A1162" w14:paraId="75F0E192" w14:textId="77777777" w:rsidTr="00155C2A">
        <w:trPr>
          <w:trHeight w:val="344"/>
        </w:trPr>
        <w:tc>
          <w:tcPr>
            <w:tcW w:w="807" w:type="dxa"/>
          </w:tcPr>
          <w:p w14:paraId="0144FE15" w14:textId="77777777" w:rsidR="006351E8" w:rsidRPr="001A1162" w:rsidRDefault="006351E8" w:rsidP="00155C2A">
            <w:pPr>
              <w:suppressAutoHyphens/>
              <w:jc w:val="center"/>
              <w:rPr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sz w:val="22"/>
                <w:szCs w:val="22"/>
                <w:shd w:val="clear" w:color="auto" w:fill="FFFFFF"/>
                <w:lang w:val="uk-UA" w:eastAsia="ar-SA"/>
              </w:rPr>
              <w:t xml:space="preserve">1 </w:t>
            </w:r>
          </w:p>
        </w:tc>
        <w:tc>
          <w:tcPr>
            <w:tcW w:w="3969" w:type="dxa"/>
          </w:tcPr>
          <w:p w14:paraId="4ED412D1" w14:textId="77777777" w:rsidR="006351E8" w:rsidRPr="001A1162" w:rsidRDefault="006351E8" w:rsidP="00155C2A">
            <w:pPr>
              <w:suppressAutoHyphens/>
              <w:rPr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lang w:val="uk-UA"/>
              </w:rPr>
              <w:t>Програмне</w:t>
            </w:r>
            <w:r w:rsidRPr="001A1162">
              <w:t xml:space="preserve"> забезпечення </w:t>
            </w:r>
            <w:r w:rsidRPr="001A1162">
              <w:rPr>
                <w:i/>
                <w:lang w:val="uk-UA"/>
              </w:rPr>
              <w:t>(назва програмного забезпечення)</w:t>
            </w:r>
          </w:p>
        </w:tc>
        <w:tc>
          <w:tcPr>
            <w:tcW w:w="1701" w:type="dxa"/>
          </w:tcPr>
          <w:p w14:paraId="38E2B5B1" w14:textId="77777777" w:rsidR="006351E8" w:rsidRPr="001A1162" w:rsidRDefault="006351E8" w:rsidP="00155C2A">
            <w:pPr>
              <w:suppressAutoHyphens/>
              <w:jc w:val="center"/>
              <w:rPr>
                <w:sz w:val="22"/>
                <w:szCs w:val="22"/>
                <w:shd w:val="clear" w:color="auto" w:fill="FFFFFF"/>
                <w:lang w:val="uk-UA" w:eastAsia="ar-SA"/>
              </w:rPr>
            </w:pPr>
          </w:p>
        </w:tc>
        <w:tc>
          <w:tcPr>
            <w:tcW w:w="1985" w:type="dxa"/>
          </w:tcPr>
          <w:p w14:paraId="6C611D77" w14:textId="77777777" w:rsidR="006351E8" w:rsidRPr="001A1162" w:rsidRDefault="006351E8" w:rsidP="00155C2A">
            <w:pPr>
              <w:suppressAutoHyphens/>
              <w:jc w:val="center"/>
              <w:rPr>
                <w:sz w:val="22"/>
                <w:szCs w:val="22"/>
                <w:shd w:val="clear" w:color="auto" w:fill="FFFFFF"/>
                <w:lang w:val="uk-UA" w:eastAsia="ar-SA"/>
              </w:rPr>
            </w:pPr>
          </w:p>
        </w:tc>
        <w:tc>
          <w:tcPr>
            <w:tcW w:w="1701" w:type="dxa"/>
          </w:tcPr>
          <w:p w14:paraId="64B45A16" w14:textId="77777777" w:rsidR="006351E8" w:rsidRPr="001A1162" w:rsidRDefault="006351E8" w:rsidP="00155C2A">
            <w:pPr>
              <w:suppressAutoHyphens/>
              <w:jc w:val="center"/>
              <w:rPr>
                <w:sz w:val="22"/>
                <w:szCs w:val="22"/>
                <w:shd w:val="clear" w:color="auto" w:fill="FFFFFF"/>
                <w:lang w:val="uk-UA" w:eastAsia="ar-SA"/>
              </w:rPr>
            </w:pPr>
          </w:p>
        </w:tc>
      </w:tr>
      <w:tr w:rsidR="006351E8" w:rsidRPr="001A1162" w14:paraId="59CF951E" w14:textId="77777777" w:rsidTr="00155C2A">
        <w:trPr>
          <w:trHeight w:val="99"/>
        </w:trPr>
        <w:tc>
          <w:tcPr>
            <w:tcW w:w="6477" w:type="dxa"/>
            <w:gridSpan w:val="3"/>
          </w:tcPr>
          <w:p w14:paraId="350A873D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 xml:space="preserve">Загальна вартість з ПДВ грн.: </w:t>
            </w:r>
          </w:p>
        </w:tc>
        <w:tc>
          <w:tcPr>
            <w:tcW w:w="3686" w:type="dxa"/>
            <w:gridSpan w:val="2"/>
          </w:tcPr>
          <w:p w14:paraId="6FF309E5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</w:p>
        </w:tc>
      </w:tr>
      <w:tr w:rsidR="006351E8" w:rsidRPr="004B0B3C" w14:paraId="1A7493E9" w14:textId="77777777" w:rsidTr="00155C2A">
        <w:trPr>
          <w:trHeight w:val="99"/>
        </w:trPr>
        <w:tc>
          <w:tcPr>
            <w:tcW w:w="6477" w:type="dxa"/>
            <w:gridSpan w:val="3"/>
          </w:tcPr>
          <w:p w14:paraId="0B9894B7" w14:textId="77777777" w:rsidR="006351E8" w:rsidRPr="004B0B3C" w:rsidRDefault="006351E8" w:rsidP="00155C2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  <w:t>ПДВ:</w:t>
            </w:r>
          </w:p>
        </w:tc>
        <w:tc>
          <w:tcPr>
            <w:tcW w:w="3686" w:type="dxa"/>
            <w:gridSpan w:val="2"/>
          </w:tcPr>
          <w:p w14:paraId="778DEAC6" w14:textId="77777777" w:rsidR="006351E8" w:rsidRPr="004B0B3C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FFFFFF"/>
                <w:lang w:val="uk-UA" w:eastAsia="ar-SA"/>
              </w:rPr>
            </w:pPr>
          </w:p>
        </w:tc>
      </w:tr>
    </w:tbl>
    <w:p w14:paraId="055B0D5E" w14:textId="77777777" w:rsidR="006351E8" w:rsidRDefault="006351E8" w:rsidP="006351E8">
      <w:pPr>
        <w:suppressAutoHyphens/>
        <w:jc w:val="both"/>
        <w:rPr>
          <w:sz w:val="20"/>
          <w:szCs w:val="20"/>
        </w:rPr>
      </w:pPr>
    </w:p>
    <w:p w14:paraId="111C79B6" w14:textId="77777777" w:rsidR="006351E8" w:rsidRPr="001A1162" w:rsidRDefault="006351E8" w:rsidP="006351E8">
      <w:pPr>
        <w:suppressAutoHyphens/>
        <w:jc w:val="both"/>
      </w:pPr>
    </w:p>
    <w:p w14:paraId="0C75F531" w14:textId="77777777" w:rsidR="006351E8" w:rsidRPr="00616BDA" w:rsidRDefault="006351E8" w:rsidP="006351E8">
      <w:pPr>
        <w:suppressAutoHyphens/>
        <w:rPr>
          <w:shd w:val="clear" w:color="auto" w:fill="FFFFFF"/>
          <w:lang w:val="uk-UA" w:eastAsia="ar-SA"/>
        </w:rPr>
      </w:pPr>
      <w:r w:rsidRPr="00616BDA">
        <w:rPr>
          <w:shd w:val="clear" w:color="auto" w:fill="FFFFFF"/>
          <w:lang w:val="uk-UA" w:eastAsia="ar-SA"/>
        </w:rPr>
        <w:t>1.2. Послуги з впровадження Підсистеми  керування ідентифікаційними даними та доступом:</w:t>
      </w:r>
    </w:p>
    <w:p w14:paraId="244C0383" w14:textId="77777777" w:rsidR="006351E8" w:rsidRPr="00616BDA" w:rsidRDefault="006351E8" w:rsidP="006351E8">
      <w:pPr>
        <w:suppressAutoHyphens/>
        <w:jc w:val="both"/>
        <w:rPr>
          <w:shd w:val="clear" w:color="auto" w:fill="FFFFFF"/>
          <w:lang w:val="uk-UA" w:eastAsia="ar-SA"/>
        </w:rPr>
      </w:pPr>
    </w:p>
    <w:tbl>
      <w:tblPr>
        <w:tblW w:w="0" w:type="auto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3969"/>
        <w:gridCol w:w="1559"/>
        <w:gridCol w:w="2268"/>
        <w:gridCol w:w="1701"/>
      </w:tblGrid>
      <w:tr w:rsidR="006351E8" w:rsidRPr="00616BDA" w14:paraId="004D103B" w14:textId="77777777" w:rsidTr="00155C2A">
        <w:trPr>
          <w:trHeight w:val="404"/>
        </w:trPr>
        <w:tc>
          <w:tcPr>
            <w:tcW w:w="807" w:type="dxa"/>
          </w:tcPr>
          <w:p w14:paraId="132F8099" w14:textId="77777777" w:rsidR="006351E8" w:rsidRPr="00FB0F4B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FB0F4B">
              <w:rPr>
                <w:b/>
                <w:sz w:val="22"/>
                <w:shd w:val="clear" w:color="auto" w:fill="FFFFFF"/>
                <w:lang w:val="uk-UA" w:eastAsia="ar-SA"/>
              </w:rPr>
              <w:t>з/п</w:t>
            </w:r>
          </w:p>
        </w:tc>
        <w:tc>
          <w:tcPr>
            <w:tcW w:w="3969" w:type="dxa"/>
          </w:tcPr>
          <w:p w14:paraId="2065366A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FB0F4B">
              <w:rPr>
                <w:b/>
                <w:sz w:val="22"/>
                <w:shd w:val="clear" w:color="auto" w:fill="FFFFFF"/>
                <w:lang w:val="uk-UA" w:eastAsia="ar-SA"/>
              </w:rPr>
              <w:t>Найменування</w:t>
            </w:r>
          </w:p>
        </w:tc>
        <w:tc>
          <w:tcPr>
            <w:tcW w:w="1559" w:type="dxa"/>
          </w:tcPr>
          <w:p w14:paraId="65E54943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К-сть</w:t>
            </w:r>
          </w:p>
        </w:tc>
        <w:tc>
          <w:tcPr>
            <w:tcW w:w="2268" w:type="dxa"/>
          </w:tcPr>
          <w:p w14:paraId="2838777E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Ціна за одиницю, грн, з ПДВ</w:t>
            </w:r>
          </w:p>
        </w:tc>
        <w:tc>
          <w:tcPr>
            <w:tcW w:w="1701" w:type="dxa"/>
          </w:tcPr>
          <w:p w14:paraId="194CE2AF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Вартість, грн,</w:t>
            </w:r>
          </w:p>
          <w:p w14:paraId="35A1191C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з ПДВ</w:t>
            </w:r>
          </w:p>
        </w:tc>
      </w:tr>
      <w:tr w:rsidR="006351E8" w:rsidRPr="00616BDA" w14:paraId="2FD0B5DF" w14:textId="77777777" w:rsidTr="00155C2A">
        <w:trPr>
          <w:trHeight w:val="326"/>
        </w:trPr>
        <w:tc>
          <w:tcPr>
            <w:tcW w:w="807" w:type="dxa"/>
          </w:tcPr>
          <w:p w14:paraId="27745EBC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1</w:t>
            </w:r>
          </w:p>
        </w:tc>
        <w:tc>
          <w:tcPr>
            <w:tcW w:w="3969" w:type="dxa"/>
          </w:tcPr>
          <w:p w14:paraId="366307B9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highlight w:val="yellow"/>
                <w:lang w:val="uk-UA" w:eastAsia="en-US"/>
              </w:rPr>
            </w:pPr>
            <w:r w:rsidRPr="001A1162">
              <w:rPr>
                <w:rFonts w:eastAsiaTheme="minorHAnsi"/>
                <w:color w:val="000000"/>
                <w:lang w:val="uk-UA" w:eastAsia="en-US"/>
              </w:rPr>
              <w:t>Послуги з впровадження  Підсистеми  керування ідентифікаційними даними та доступом:</w:t>
            </w:r>
          </w:p>
        </w:tc>
        <w:tc>
          <w:tcPr>
            <w:tcW w:w="1559" w:type="dxa"/>
          </w:tcPr>
          <w:p w14:paraId="102C19A1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1A1162">
              <w:rPr>
                <w:rFonts w:eastAsiaTheme="minorHAnsi"/>
                <w:color w:val="000000"/>
                <w:lang w:val="uk-UA" w:eastAsia="en-US"/>
              </w:rPr>
              <w:t>1</w:t>
            </w:r>
          </w:p>
        </w:tc>
        <w:tc>
          <w:tcPr>
            <w:tcW w:w="2268" w:type="dxa"/>
          </w:tcPr>
          <w:p w14:paraId="06DFEBAA" w14:textId="77777777" w:rsidR="006351E8" w:rsidRPr="001A1162" w:rsidRDefault="006351E8" w:rsidP="00155C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701" w:type="dxa"/>
          </w:tcPr>
          <w:p w14:paraId="576098BF" w14:textId="77777777" w:rsidR="006351E8" w:rsidRPr="001A1162" w:rsidRDefault="006351E8" w:rsidP="00155C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</w:tr>
      <w:tr w:rsidR="006351E8" w:rsidRPr="00616BDA" w14:paraId="66FF6E61" w14:textId="77777777" w:rsidTr="00155C2A">
        <w:trPr>
          <w:trHeight w:val="99"/>
        </w:trPr>
        <w:tc>
          <w:tcPr>
            <w:tcW w:w="6335" w:type="dxa"/>
            <w:gridSpan w:val="3"/>
          </w:tcPr>
          <w:p w14:paraId="74DE07B9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hd w:val="clear" w:color="auto" w:fill="FFFFFF"/>
                <w:lang w:val="uk-UA" w:eastAsia="ar-SA"/>
              </w:rPr>
              <w:t xml:space="preserve">Загальна вартість з ПДВ грн.: </w:t>
            </w:r>
          </w:p>
        </w:tc>
        <w:tc>
          <w:tcPr>
            <w:tcW w:w="3969" w:type="dxa"/>
            <w:gridSpan w:val="2"/>
          </w:tcPr>
          <w:p w14:paraId="04DB2AA3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  <w:lang w:val="uk-UA" w:eastAsia="ar-SA"/>
              </w:rPr>
            </w:pPr>
          </w:p>
        </w:tc>
      </w:tr>
      <w:tr w:rsidR="006351E8" w:rsidRPr="00616BDA" w14:paraId="04A850C5" w14:textId="77777777" w:rsidTr="00155C2A">
        <w:trPr>
          <w:trHeight w:val="99"/>
        </w:trPr>
        <w:tc>
          <w:tcPr>
            <w:tcW w:w="6335" w:type="dxa"/>
            <w:gridSpan w:val="3"/>
          </w:tcPr>
          <w:p w14:paraId="703A5DCC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hd w:val="clear" w:color="auto" w:fill="FFFFFF"/>
                <w:lang w:val="uk-UA" w:eastAsia="ar-SA"/>
              </w:rPr>
              <w:t>ПДВ:</w:t>
            </w:r>
          </w:p>
        </w:tc>
        <w:tc>
          <w:tcPr>
            <w:tcW w:w="3969" w:type="dxa"/>
            <w:gridSpan w:val="2"/>
          </w:tcPr>
          <w:p w14:paraId="0A2D3DCB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  <w:lang w:val="uk-UA" w:eastAsia="ar-SA"/>
              </w:rPr>
            </w:pPr>
          </w:p>
        </w:tc>
      </w:tr>
    </w:tbl>
    <w:p w14:paraId="482F35A3" w14:textId="77777777" w:rsidR="006351E8" w:rsidRPr="00616BDA" w:rsidRDefault="006351E8" w:rsidP="006351E8"/>
    <w:p w14:paraId="56297E2A" w14:textId="77777777" w:rsidR="006351E8" w:rsidRPr="00616BDA" w:rsidRDefault="006351E8" w:rsidP="006351E8">
      <w:pPr>
        <w:suppressAutoHyphens/>
        <w:rPr>
          <w:shd w:val="clear" w:color="auto" w:fill="FFFFFF"/>
          <w:lang w:val="uk-UA" w:eastAsia="ar-SA"/>
        </w:rPr>
      </w:pPr>
      <w:r w:rsidRPr="00616BDA">
        <w:rPr>
          <w:shd w:val="clear" w:color="auto" w:fill="FFFFFF"/>
          <w:lang w:val="uk-UA" w:eastAsia="ar-SA"/>
        </w:rPr>
        <w:t>1.3. Послуги з розширеної технічної підтримки  Підсистеми  керування ідентифікаційними даними та доступом, терміном на 1 (один) рік:</w:t>
      </w:r>
    </w:p>
    <w:p w14:paraId="10D9E3D5" w14:textId="77777777" w:rsidR="006351E8" w:rsidRPr="00616BDA" w:rsidRDefault="006351E8" w:rsidP="006351E8">
      <w:pPr>
        <w:suppressAutoHyphens/>
        <w:jc w:val="both"/>
        <w:rPr>
          <w:shd w:val="clear" w:color="auto" w:fill="FFFFFF"/>
          <w:lang w:val="uk-UA" w:eastAsia="ar-SA"/>
        </w:rPr>
      </w:pPr>
    </w:p>
    <w:tbl>
      <w:tblPr>
        <w:tblW w:w="0" w:type="auto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3969"/>
        <w:gridCol w:w="1559"/>
        <w:gridCol w:w="2268"/>
        <w:gridCol w:w="1701"/>
      </w:tblGrid>
      <w:tr w:rsidR="006351E8" w:rsidRPr="00616BDA" w14:paraId="33A77DC5" w14:textId="77777777" w:rsidTr="00155C2A">
        <w:trPr>
          <w:trHeight w:val="343"/>
        </w:trPr>
        <w:tc>
          <w:tcPr>
            <w:tcW w:w="807" w:type="dxa"/>
          </w:tcPr>
          <w:p w14:paraId="12061C4D" w14:textId="77777777" w:rsidR="006351E8" w:rsidRPr="00FB0F4B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FB0F4B">
              <w:rPr>
                <w:b/>
                <w:sz w:val="22"/>
                <w:shd w:val="clear" w:color="auto" w:fill="FFFFFF"/>
                <w:lang w:val="uk-UA" w:eastAsia="ar-SA"/>
              </w:rPr>
              <w:t>з/п</w:t>
            </w:r>
          </w:p>
        </w:tc>
        <w:tc>
          <w:tcPr>
            <w:tcW w:w="3969" w:type="dxa"/>
          </w:tcPr>
          <w:p w14:paraId="0F78791D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FB0F4B">
              <w:rPr>
                <w:b/>
                <w:sz w:val="22"/>
                <w:shd w:val="clear" w:color="auto" w:fill="FFFFFF"/>
                <w:lang w:val="uk-UA" w:eastAsia="ar-SA"/>
              </w:rPr>
              <w:t>Найменування</w:t>
            </w:r>
          </w:p>
        </w:tc>
        <w:tc>
          <w:tcPr>
            <w:tcW w:w="1559" w:type="dxa"/>
          </w:tcPr>
          <w:p w14:paraId="1BCAF76C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К-сть</w:t>
            </w:r>
          </w:p>
          <w:p w14:paraId="5482B251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(кварталів)</w:t>
            </w:r>
          </w:p>
        </w:tc>
        <w:tc>
          <w:tcPr>
            <w:tcW w:w="2268" w:type="dxa"/>
          </w:tcPr>
          <w:p w14:paraId="34FF9D3A" w14:textId="77777777" w:rsidR="006351E8" w:rsidRPr="00FB0F4B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Ціна за квартал</w:t>
            </w:r>
            <w:r w:rsidRPr="00FB0F4B">
              <w:rPr>
                <w:b/>
                <w:sz w:val="22"/>
                <w:shd w:val="clear" w:color="auto" w:fill="FFFFFF"/>
                <w:lang w:val="uk-UA" w:eastAsia="ar-SA"/>
              </w:rPr>
              <w:t>, грн, з ПДВ</w:t>
            </w:r>
          </w:p>
        </w:tc>
        <w:tc>
          <w:tcPr>
            <w:tcW w:w="1701" w:type="dxa"/>
          </w:tcPr>
          <w:p w14:paraId="4D3F7EB4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Вартість</w:t>
            </w:r>
          </w:p>
          <w:p w14:paraId="17ECA7EB" w14:textId="77777777" w:rsidR="006351E8" w:rsidRPr="00FB0F4B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z w:val="22"/>
                <w:shd w:val="clear" w:color="auto" w:fill="FFFFFF"/>
                <w:lang w:val="uk-UA" w:eastAsia="ar-SA"/>
              </w:rPr>
              <w:t>за 1 рік</w:t>
            </w:r>
            <w:r w:rsidRPr="00FB0F4B">
              <w:rPr>
                <w:b/>
                <w:sz w:val="22"/>
                <w:shd w:val="clear" w:color="auto" w:fill="FFFFFF"/>
                <w:lang w:val="uk-UA" w:eastAsia="ar-SA"/>
              </w:rPr>
              <w:t>, грн,</w:t>
            </w:r>
          </w:p>
          <w:p w14:paraId="6CF2A4C1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hd w:val="clear" w:color="auto" w:fill="FFFFFF"/>
                <w:lang w:val="uk-UA" w:eastAsia="ar-SA"/>
              </w:rPr>
            </w:pPr>
            <w:r w:rsidRPr="00FB0F4B">
              <w:rPr>
                <w:b/>
                <w:sz w:val="22"/>
                <w:shd w:val="clear" w:color="auto" w:fill="FFFFFF"/>
                <w:lang w:val="uk-UA" w:eastAsia="ar-SA"/>
              </w:rPr>
              <w:t>з ПДВ</w:t>
            </w:r>
          </w:p>
        </w:tc>
      </w:tr>
      <w:tr w:rsidR="006351E8" w:rsidRPr="00616BDA" w14:paraId="752A1DCF" w14:textId="77777777" w:rsidTr="00155C2A">
        <w:trPr>
          <w:trHeight w:val="326"/>
        </w:trPr>
        <w:tc>
          <w:tcPr>
            <w:tcW w:w="807" w:type="dxa"/>
          </w:tcPr>
          <w:p w14:paraId="3B90B992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  <w:lang w:val="uk-UA" w:eastAsia="ar-SA"/>
              </w:rPr>
            </w:pPr>
            <w:r w:rsidRPr="001A1162">
              <w:rPr>
                <w:shd w:val="clear" w:color="auto" w:fill="FFFFFF"/>
                <w:lang w:val="uk-UA" w:eastAsia="ar-SA"/>
              </w:rPr>
              <w:t>1</w:t>
            </w:r>
          </w:p>
        </w:tc>
        <w:tc>
          <w:tcPr>
            <w:tcW w:w="3969" w:type="dxa"/>
          </w:tcPr>
          <w:p w14:paraId="3A2BE90F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highlight w:val="yellow"/>
                <w:lang w:val="uk-UA" w:eastAsia="en-US"/>
              </w:rPr>
            </w:pPr>
            <w:r w:rsidRPr="001A1162">
              <w:rPr>
                <w:rFonts w:eastAsiaTheme="minorHAnsi"/>
                <w:color w:val="000000"/>
                <w:lang w:val="uk-UA" w:eastAsia="en-US"/>
              </w:rPr>
              <w:t>Послуги з розширеної технічної підтримки  Підсистеми  керування ідентифікаційними даними та доступом:</w:t>
            </w:r>
          </w:p>
        </w:tc>
        <w:tc>
          <w:tcPr>
            <w:tcW w:w="1559" w:type="dxa"/>
          </w:tcPr>
          <w:p w14:paraId="4198C82E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1A1162">
              <w:rPr>
                <w:rFonts w:eastAsiaTheme="minorHAnsi"/>
                <w:color w:val="000000"/>
                <w:lang w:val="uk-UA" w:eastAsia="en-US"/>
              </w:rPr>
              <w:t>4</w:t>
            </w:r>
          </w:p>
        </w:tc>
        <w:tc>
          <w:tcPr>
            <w:tcW w:w="2268" w:type="dxa"/>
          </w:tcPr>
          <w:p w14:paraId="1D445D7C" w14:textId="77777777" w:rsidR="006351E8" w:rsidRPr="001A1162" w:rsidRDefault="006351E8" w:rsidP="00155C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701" w:type="dxa"/>
          </w:tcPr>
          <w:p w14:paraId="62C3308B" w14:textId="77777777" w:rsidR="006351E8" w:rsidRPr="001A1162" w:rsidRDefault="006351E8" w:rsidP="00155C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</w:tr>
      <w:tr w:rsidR="006351E8" w:rsidRPr="00616BDA" w14:paraId="7981B1CE" w14:textId="77777777" w:rsidTr="00155C2A">
        <w:trPr>
          <w:trHeight w:val="99"/>
        </w:trPr>
        <w:tc>
          <w:tcPr>
            <w:tcW w:w="6335" w:type="dxa"/>
            <w:gridSpan w:val="3"/>
          </w:tcPr>
          <w:p w14:paraId="6BC67BD1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hd w:val="clear" w:color="auto" w:fill="FFFFFF"/>
                <w:lang w:val="uk-UA" w:eastAsia="ar-SA"/>
              </w:rPr>
              <w:t xml:space="preserve">Загальна вартість з ПДВ грн.: </w:t>
            </w:r>
          </w:p>
        </w:tc>
        <w:tc>
          <w:tcPr>
            <w:tcW w:w="3969" w:type="dxa"/>
            <w:gridSpan w:val="2"/>
          </w:tcPr>
          <w:p w14:paraId="3888F73D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  <w:lang w:val="uk-UA" w:eastAsia="ar-SA"/>
              </w:rPr>
            </w:pPr>
          </w:p>
        </w:tc>
      </w:tr>
      <w:tr w:rsidR="006351E8" w:rsidRPr="00616BDA" w14:paraId="4CA584F3" w14:textId="77777777" w:rsidTr="00155C2A">
        <w:trPr>
          <w:trHeight w:val="99"/>
        </w:trPr>
        <w:tc>
          <w:tcPr>
            <w:tcW w:w="6335" w:type="dxa"/>
            <w:gridSpan w:val="3"/>
          </w:tcPr>
          <w:p w14:paraId="7F8F1315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right"/>
              <w:rPr>
                <w:b/>
                <w:shd w:val="clear" w:color="auto" w:fill="FFFFFF"/>
                <w:lang w:val="uk-UA" w:eastAsia="ar-SA"/>
              </w:rPr>
            </w:pPr>
            <w:r w:rsidRPr="001A1162">
              <w:rPr>
                <w:b/>
                <w:shd w:val="clear" w:color="auto" w:fill="FFFFFF"/>
                <w:lang w:val="uk-UA" w:eastAsia="ar-SA"/>
              </w:rPr>
              <w:t>ПДВ:</w:t>
            </w:r>
          </w:p>
        </w:tc>
        <w:tc>
          <w:tcPr>
            <w:tcW w:w="3969" w:type="dxa"/>
            <w:gridSpan w:val="2"/>
          </w:tcPr>
          <w:p w14:paraId="2EDC1885" w14:textId="77777777" w:rsidR="006351E8" w:rsidRPr="001A1162" w:rsidRDefault="006351E8" w:rsidP="00155C2A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  <w:lang w:val="uk-UA" w:eastAsia="ar-SA"/>
              </w:rPr>
            </w:pPr>
          </w:p>
        </w:tc>
      </w:tr>
    </w:tbl>
    <w:p w14:paraId="04EA47EE" w14:textId="77777777" w:rsidR="006351E8" w:rsidRPr="001A1162" w:rsidRDefault="006351E8" w:rsidP="006351E8">
      <w:pPr>
        <w:rPr>
          <w:lang w:val="uk-UA"/>
        </w:rPr>
      </w:pPr>
    </w:p>
    <w:p w14:paraId="56FCDF48" w14:textId="77777777" w:rsidR="00FE1FFD" w:rsidRDefault="00FE1FFD"/>
    <w:sectPr w:rsidR="00FE1FFD" w:rsidSect="006351E8">
      <w:headerReference w:type="default" r:id="rId7"/>
      <w:pgSz w:w="11907" w:h="16840" w:code="9"/>
      <w:pgMar w:top="284" w:right="709" w:bottom="567" w:left="851" w:header="567" w:footer="3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704"/>
      <w:gridCol w:w="6287"/>
      <w:gridCol w:w="1790"/>
    </w:tblGrid>
    <w:tr w:rsidR="006351E8" w14:paraId="3971B420" w14:textId="77777777">
      <w:trPr>
        <w:trHeight w:val="380"/>
        <w:jc w:val="center"/>
      </w:trPr>
      <w:tc>
        <w:tcPr>
          <w:tcW w:w="1704" w:type="dxa"/>
          <w:vMerge w:val="restart"/>
          <w:tcBorders>
            <w:top w:val="single" w:sz="12" w:space="0" w:color="000000"/>
            <w:bottom w:val="single" w:sz="12" w:space="0" w:color="000000"/>
            <w:right w:val="nil"/>
          </w:tcBorders>
          <w:vAlign w:val="center"/>
        </w:tcPr>
        <w:p w14:paraId="2AD62D49" w14:textId="77777777" w:rsidR="006351E8" w:rsidRDefault="006351E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uk-UA" w:eastAsia="uk-UA"/>
            </w:rPr>
            <w:drawing>
              <wp:inline distT="0" distB="0" distL="114300" distR="114300" wp14:anchorId="4287BC8E" wp14:editId="6C59603C">
                <wp:extent cx="667910" cy="469127"/>
                <wp:effectExtent l="0" t="0" r="0" b="762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786" cy="4844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594095B" w14:textId="77777777" w:rsidR="006351E8" w:rsidRDefault="006351E8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Запит комерційної пропозиції</w:t>
          </w:r>
        </w:p>
      </w:tc>
      <w:tc>
        <w:tcPr>
          <w:tcW w:w="1790" w:type="dxa"/>
          <w:vMerge w:val="restart"/>
          <w:tcBorders>
            <w:top w:val="single" w:sz="12" w:space="0" w:color="000000"/>
            <w:left w:val="nil"/>
          </w:tcBorders>
          <w:vAlign w:val="center"/>
        </w:tcPr>
        <w:p w14:paraId="4B37DEF8" w14:textId="77777777" w:rsidR="006351E8" w:rsidRDefault="006351E8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Сторінка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8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з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8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</w:tr>
    <w:tr w:rsidR="006351E8" w:rsidRPr="00103290" w14:paraId="64519E00" w14:textId="77777777">
      <w:trPr>
        <w:trHeight w:val="660"/>
        <w:jc w:val="center"/>
      </w:trPr>
      <w:tc>
        <w:tcPr>
          <w:tcW w:w="1704" w:type="dxa"/>
          <w:vMerge/>
          <w:tcBorders>
            <w:top w:val="single" w:sz="12" w:space="0" w:color="000000"/>
            <w:bottom w:val="single" w:sz="12" w:space="0" w:color="000000"/>
            <w:right w:val="nil"/>
          </w:tcBorders>
          <w:vAlign w:val="center"/>
        </w:tcPr>
        <w:p w14:paraId="5A17F5E8" w14:textId="77777777" w:rsidR="006351E8" w:rsidRDefault="006351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6287" w:type="dxa"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441ADA8" w14:textId="77777777" w:rsidR="006351E8" w:rsidRPr="001A1162" w:rsidRDefault="006351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00"/>
            </w:tabs>
            <w:jc w:val="center"/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  <w:lang w:val="uk-UA"/>
            </w:rPr>
          </w:pPr>
          <w:r w:rsidRPr="00D4179A"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>ЗАКУПІВЛЯ</w:t>
          </w:r>
          <w:r w:rsidRPr="003A4BA8"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 xml:space="preserve"> </w:t>
          </w:r>
          <w:r w:rsidRPr="00D4179A"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>ЛІЦЕНЗІЙ</w:t>
          </w:r>
          <w:r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  <w:lang w:val="uk-UA"/>
            </w:rPr>
            <w:t>,</w:t>
          </w:r>
          <w:r w:rsidRPr="003A4BA8"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  <w:lang w:val="uk-UA"/>
            </w:rPr>
            <w:t xml:space="preserve">ПОСЛУГ З </w:t>
          </w:r>
          <w:r w:rsidRPr="00D4179A"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>ВПРОВАДЖЕН</w:t>
          </w:r>
          <w:r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>НЯ</w:t>
          </w:r>
          <w:r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  <w:lang w:val="uk-UA"/>
            </w:rPr>
            <w:t xml:space="preserve"> ТА ПІДТРИМКИ</w:t>
          </w:r>
        </w:p>
      </w:tc>
      <w:tc>
        <w:tcPr>
          <w:tcW w:w="1790" w:type="dxa"/>
          <w:vMerge/>
          <w:tcBorders>
            <w:top w:val="single" w:sz="12" w:space="0" w:color="000000"/>
            <w:left w:val="nil"/>
          </w:tcBorders>
          <w:vAlign w:val="center"/>
        </w:tcPr>
        <w:p w14:paraId="46AFE0D8" w14:textId="77777777" w:rsidR="006351E8" w:rsidRPr="002078F8" w:rsidRDefault="006351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</w:pPr>
        </w:p>
      </w:tc>
    </w:tr>
  </w:tbl>
  <w:p w14:paraId="2A27568B" w14:textId="77777777" w:rsidR="006351E8" w:rsidRPr="002078F8" w:rsidRDefault="006351E8">
    <w:pPr>
      <w:pStyle w:val="af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1ED"/>
    <w:multiLevelType w:val="hybridMultilevel"/>
    <w:tmpl w:val="2F52E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2D8"/>
    <w:multiLevelType w:val="hybridMultilevel"/>
    <w:tmpl w:val="1068E1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438CB"/>
    <w:multiLevelType w:val="multilevel"/>
    <w:tmpl w:val="AF20DD6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decimal"/>
      <w:isLgl/>
      <w:lvlText w:val="%1.%2"/>
      <w:lvlJc w:val="left"/>
      <w:pPr>
        <w:ind w:left="180" w:hanging="720"/>
      </w:pPr>
    </w:lvl>
    <w:lvl w:ilvl="2">
      <w:start w:val="1"/>
      <w:numFmt w:val="decimal"/>
      <w:isLgl/>
      <w:lvlText w:val="%1.%2.%3"/>
      <w:lvlJc w:val="left"/>
      <w:pPr>
        <w:ind w:left="540" w:hanging="1080"/>
      </w:pPr>
    </w:lvl>
    <w:lvl w:ilvl="3">
      <w:start w:val="1"/>
      <w:numFmt w:val="decimal"/>
      <w:isLgl/>
      <w:lvlText w:val="%1.%2.%3.%4"/>
      <w:lvlJc w:val="left"/>
      <w:pPr>
        <w:ind w:left="540" w:hanging="1080"/>
      </w:pPr>
    </w:lvl>
    <w:lvl w:ilvl="4">
      <w:start w:val="1"/>
      <w:numFmt w:val="decimal"/>
      <w:isLgl/>
      <w:lvlText w:val="%1.%2.%3.%4.%5"/>
      <w:lvlJc w:val="left"/>
      <w:pPr>
        <w:ind w:left="900" w:hanging="1440"/>
      </w:pPr>
    </w:lvl>
    <w:lvl w:ilvl="5">
      <w:start w:val="1"/>
      <w:numFmt w:val="decimal"/>
      <w:isLgl/>
      <w:lvlText w:val="%1.%2.%3.%4.%5.%6"/>
      <w:lvlJc w:val="left"/>
      <w:pPr>
        <w:ind w:left="1260" w:hanging="1800"/>
      </w:pPr>
    </w:lvl>
    <w:lvl w:ilvl="6">
      <w:start w:val="1"/>
      <w:numFmt w:val="decimal"/>
      <w:isLgl/>
      <w:lvlText w:val="%1.%2.%3.%4.%5.%6.%7"/>
      <w:lvlJc w:val="left"/>
      <w:pPr>
        <w:ind w:left="1620" w:hanging="2160"/>
      </w:pPr>
    </w:lvl>
    <w:lvl w:ilvl="7">
      <w:start w:val="1"/>
      <w:numFmt w:val="decimal"/>
      <w:isLgl/>
      <w:lvlText w:val="%1.%2.%3.%4.%5.%6.%7.%8"/>
      <w:lvlJc w:val="left"/>
      <w:pPr>
        <w:ind w:left="1620" w:hanging="2160"/>
      </w:pPr>
    </w:lvl>
    <w:lvl w:ilvl="8">
      <w:start w:val="1"/>
      <w:numFmt w:val="decimal"/>
      <w:isLgl/>
      <w:lvlText w:val="%1.%2.%3.%4.%5.%6.%7.%8.%9"/>
      <w:lvlJc w:val="left"/>
      <w:pPr>
        <w:ind w:left="1980" w:hanging="2520"/>
      </w:pPr>
    </w:lvl>
  </w:abstractNum>
  <w:abstractNum w:abstractNumId="3" w15:restartNumberingAfterBreak="0">
    <w:nsid w:val="309B75A1"/>
    <w:multiLevelType w:val="hybridMultilevel"/>
    <w:tmpl w:val="D67E40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F5CB1"/>
    <w:multiLevelType w:val="hybridMultilevel"/>
    <w:tmpl w:val="6778C09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D4C96"/>
    <w:multiLevelType w:val="hybridMultilevel"/>
    <w:tmpl w:val="A81CA5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6865"/>
    <w:multiLevelType w:val="hybridMultilevel"/>
    <w:tmpl w:val="6A689A6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F751F1"/>
    <w:multiLevelType w:val="hybridMultilevel"/>
    <w:tmpl w:val="95DE06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20DD2"/>
    <w:multiLevelType w:val="hybridMultilevel"/>
    <w:tmpl w:val="8F7C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C6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409E">
      <w:start w:val="16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5D1140"/>
    <w:multiLevelType w:val="hybridMultilevel"/>
    <w:tmpl w:val="031818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397A"/>
    <w:multiLevelType w:val="hybridMultilevel"/>
    <w:tmpl w:val="2CF89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1408">
    <w:abstractNumId w:val="1"/>
  </w:num>
  <w:num w:numId="2" w16cid:durableId="2048214558">
    <w:abstractNumId w:val="8"/>
  </w:num>
  <w:num w:numId="3" w16cid:durableId="215431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549786">
    <w:abstractNumId w:val="6"/>
  </w:num>
  <w:num w:numId="5" w16cid:durableId="549148532">
    <w:abstractNumId w:val="0"/>
  </w:num>
  <w:num w:numId="6" w16cid:durableId="60905987">
    <w:abstractNumId w:val="9"/>
  </w:num>
  <w:num w:numId="7" w16cid:durableId="2034645649">
    <w:abstractNumId w:val="3"/>
  </w:num>
  <w:num w:numId="8" w16cid:durableId="976564535">
    <w:abstractNumId w:val="7"/>
  </w:num>
  <w:num w:numId="9" w16cid:durableId="880747136">
    <w:abstractNumId w:val="10"/>
  </w:num>
  <w:num w:numId="10" w16cid:durableId="1322464576">
    <w:abstractNumId w:val="4"/>
  </w:num>
  <w:num w:numId="11" w16cid:durableId="1829327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B"/>
    <w:rsid w:val="000E534B"/>
    <w:rsid w:val="006351E8"/>
    <w:rsid w:val="00842FB2"/>
    <w:rsid w:val="00AD77DB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B9486-EEB9-4411-9DE3-CCFEDF67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1E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5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3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3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3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3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3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3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3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3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3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3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3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E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E5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E534B"/>
    <w:rPr>
      <w:i/>
      <w:iCs/>
      <w:color w:val="404040" w:themeColor="text1" w:themeTint="BF"/>
    </w:rPr>
  </w:style>
  <w:style w:type="paragraph" w:styleId="a9">
    <w:name w:val="List Paragraph"/>
    <w:aliases w:val="Chapter10,Elenco Normale,заголовок 1.1,название табл/рис,Список уровня 2,Заголовок 1.1,N_List Paragraph,He,Bullet List,FooterText,numbered,Paragraphe de liste1,lp1"/>
    <w:basedOn w:val="a"/>
    <w:link w:val="aa"/>
    <w:uiPriority w:val="34"/>
    <w:qFormat/>
    <w:rsid w:val="000E534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0E534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E5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0E534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0E534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rsid w:val="006351E8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6351E8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1">
    <w:name w:val="Hyperlink"/>
    <w:rsid w:val="006351E8"/>
    <w:rPr>
      <w:color w:val="0000FF"/>
      <w:u w:val="single"/>
    </w:rPr>
  </w:style>
  <w:style w:type="character" w:customStyle="1" w:styleId="aa">
    <w:name w:val="Абзац списку Знак"/>
    <w:aliases w:val="Chapter10 Знак,Elenco Normale Знак,заголовок 1.1 Знак,название табл/рис Знак,Список уровня 2 Знак,Заголовок 1.1 Знак,N_List Paragraph Знак,He Знак,Bullet List Знак,FooterText Знак,numbered Знак,Paragraphe de liste1 Знак,lp1 Знак"/>
    <w:link w:val="a9"/>
    <w:uiPriority w:val="34"/>
    <w:rsid w:val="006351E8"/>
  </w:style>
  <w:style w:type="table" w:styleId="af2">
    <w:name w:val="Table Grid"/>
    <w:basedOn w:val="a1"/>
    <w:uiPriority w:val="59"/>
    <w:rsid w:val="006351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ext.gng.com.ua" TargetMode="External"/><Relationship Id="rId5" Type="http://schemas.openxmlformats.org/officeDocument/2006/relationships/hyperlink" Target="mailto:RStefanyshyn@gng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8749</Words>
  <Characters>4987</Characters>
  <DocSecurity>0</DocSecurity>
  <Lines>41</Lines>
  <Paragraphs>27</Paragraphs>
  <ScaleCrop>false</ScaleCrop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2025-09-10T10:03:00Z</dcterms:created>
  <dcterms:modified xsi:type="dcterms:W3CDTF">2025-09-10T10:03:00Z</dcterms:modified>
</cp:coreProperties>
</file>